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0C95D">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bookmarkStart w:id="0" w:name="_Toc28922"/>
      <w:bookmarkStart w:id="1" w:name="_Toc87566308"/>
      <w:bookmarkStart w:id="2" w:name="_Toc25151"/>
      <w:r>
        <w:rPr>
          <w:rFonts w:hint="eastAsia" w:ascii="宋体" w:hAnsi="宋体" w:eastAsia="宋体" w:cs="Times New Roman"/>
          <w:b/>
          <w:sz w:val="52"/>
          <w:szCs w:val="52"/>
        </w:rPr>
        <w:t>红星电商大楼一楼商铺</w:t>
      </w:r>
      <w:r>
        <w:rPr>
          <w:rFonts w:hint="eastAsia" w:ascii="宋体" w:hAnsi="宋体" w:eastAsia="宋体" w:cs="Times New Roman"/>
          <w:b/>
          <w:sz w:val="52"/>
          <w:szCs w:val="52"/>
          <w:lang w:val="en-US" w:eastAsia="zh-CN"/>
        </w:rPr>
        <w:t>（第二次）</w:t>
      </w:r>
      <w:bookmarkStart w:id="17" w:name="_GoBack"/>
      <w:bookmarkEnd w:id="17"/>
    </w:p>
    <w:p w14:paraId="18259513">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ind w:firstLine="3132" w:firstLineChars="600"/>
        <w:jc w:val="both"/>
        <w:textAlignment w:val="auto"/>
        <w:outlineLvl w:val="0"/>
        <w:rPr>
          <w:rFonts w:hint="eastAsia" w:ascii="宋体" w:hAnsi="宋体" w:eastAsia="宋体" w:cs="Times New Roman"/>
          <w:b/>
          <w:sz w:val="52"/>
          <w:szCs w:val="52"/>
          <w:lang w:val="en-US" w:eastAsia="zh-CN"/>
        </w:rPr>
      </w:pPr>
    </w:p>
    <w:p w14:paraId="4C5B4072">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6F1888B2">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196F5779">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730D0F8E">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4BCD7A48">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727D248E">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both"/>
        <w:textAlignment w:val="auto"/>
        <w:outlineLvl w:val="0"/>
        <w:rPr>
          <w:rFonts w:hint="eastAsia" w:ascii="宋体" w:hAnsi="宋体" w:eastAsia="宋体" w:cs="Times New Roman"/>
          <w:b/>
          <w:sz w:val="52"/>
          <w:szCs w:val="52"/>
          <w:lang w:val="en-US" w:eastAsia="zh-CN"/>
        </w:rPr>
      </w:pPr>
    </w:p>
    <w:p w14:paraId="1797D1BF">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ind w:firstLine="3132" w:firstLineChars="600"/>
        <w:jc w:val="both"/>
        <w:textAlignment w:val="auto"/>
        <w:outlineLvl w:val="0"/>
        <w:rPr>
          <w:rFonts w:hint="eastAsia" w:ascii="宋体" w:hAnsi="宋体" w:eastAsia="宋体" w:cs="Times New Roman"/>
          <w:b/>
          <w:sz w:val="52"/>
          <w:szCs w:val="52"/>
          <w:lang w:val="en-US" w:eastAsia="zh-CN"/>
        </w:rPr>
      </w:pPr>
      <w:r>
        <w:rPr>
          <w:rFonts w:hint="eastAsia" w:ascii="宋体" w:hAnsi="宋体" w:eastAsia="宋体" w:cs="Times New Roman"/>
          <w:b/>
          <w:sz w:val="52"/>
          <w:szCs w:val="52"/>
        </w:rPr>
        <w:t>招租</w:t>
      </w:r>
      <w:r>
        <w:rPr>
          <w:rFonts w:hint="eastAsia" w:ascii="宋体" w:hAnsi="宋体" w:eastAsia="宋体" w:cs="Times New Roman"/>
          <w:b/>
          <w:sz w:val="52"/>
          <w:szCs w:val="52"/>
          <w:lang w:eastAsia="zh-CN"/>
        </w:rPr>
        <w:t>文件</w:t>
      </w:r>
    </w:p>
    <w:p w14:paraId="4EEEA842">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0FD95076">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3652DA34">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3BD94DDC">
      <w:pPr>
        <w:widowControl w:val="0"/>
        <w:adjustRightInd/>
        <w:snapToGrid/>
        <w:spacing w:before="120" w:beforeLines="50" w:after="120" w:afterLines="50" w:line="440" w:lineRule="exact"/>
        <w:jc w:val="center"/>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抚州市东乡区城投资产经营管理有限公司</w:t>
      </w:r>
    </w:p>
    <w:p w14:paraId="3CF3823C">
      <w:pPr>
        <w:spacing w:before="120" w:beforeLines="50" w:after="120" w:afterLines="50" w:line="440" w:lineRule="exact"/>
        <w:jc w:val="center"/>
        <w:rPr>
          <w:rFonts w:hint="eastAsia" w:ascii="宋体" w:hAnsi="宋体" w:cs="宋体"/>
          <w:sz w:val="32"/>
          <w:szCs w:val="32"/>
        </w:rPr>
      </w:pPr>
      <w:r>
        <w:rPr>
          <w:rFonts w:hint="eastAsia" w:ascii="宋体" w:hAnsi="宋体" w:cs="宋体"/>
          <w:sz w:val="32"/>
          <w:szCs w:val="32"/>
        </w:rPr>
        <w:t>二〇二</w:t>
      </w:r>
      <w:r>
        <w:rPr>
          <w:rFonts w:hint="eastAsia" w:ascii="宋体" w:hAnsi="宋体" w:cs="宋体"/>
          <w:sz w:val="32"/>
          <w:szCs w:val="32"/>
          <w:lang w:val="en-US" w:eastAsia="zh-CN"/>
        </w:rPr>
        <w:t>六</w:t>
      </w:r>
      <w:r>
        <w:rPr>
          <w:rFonts w:hint="eastAsia" w:ascii="宋体" w:hAnsi="宋体" w:cs="宋体"/>
          <w:sz w:val="32"/>
          <w:szCs w:val="32"/>
        </w:rPr>
        <w:t>年</w:t>
      </w:r>
      <w:r>
        <w:rPr>
          <w:rFonts w:hint="eastAsia" w:ascii="宋体" w:hAnsi="宋体" w:cs="宋体"/>
          <w:sz w:val="32"/>
          <w:szCs w:val="32"/>
          <w:lang w:val="en-US" w:eastAsia="zh-CN"/>
        </w:rPr>
        <w:t>五</w:t>
      </w:r>
      <w:r>
        <w:rPr>
          <w:rFonts w:hint="eastAsia" w:ascii="宋体" w:hAnsi="宋体" w:cs="宋体"/>
          <w:sz w:val="32"/>
          <w:szCs w:val="32"/>
        </w:rPr>
        <w:t>月</w:t>
      </w:r>
    </w:p>
    <w:p w14:paraId="6F9B4373">
      <w:pPr>
        <w:keepNext w:val="0"/>
        <w:keepLines w:val="0"/>
        <w:pageBreakBefore w:val="0"/>
        <w:widowControl/>
        <w:kinsoku/>
        <w:wordWrap/>
        <w:overflowPunct/>
        <w:topLinePunct w:val="0"/>
        <w:autoSpaceDE/>
        <w:autoSpaceDN/>
        <w:bidi w:val="0"/>
        <w:adjustRightInd w:val="0"/>
        <w:snapToGrid w:val="0"/>
        <w:spacing w:after="0" w:line="720" w:lineRule="exact"/>
        <w:ind w:firstLine="560" w:firstLineChars="200"/>
        <w:jc w:val="center"/>
        <w:textAlignment w:val="auto"/>
        <w:outlineLvl w:val="1"/>
        <w:rPr>
          <w:rFonts w:ascii="宋体" w:hAnsi="宋体" w:eastAsia="宋体" w:cs="仿宋"/>
          <w:sz w:val="28"/>
          <w:szCs w:val="28"/>
        </w:rPr>
      </w:pPr>
    </w:p>
    <w:p w14:paraId="3EC9D20F">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eastAsia="zh-CN"/>
        </w:rPr>
      </w:pPr>
    </w:p>
    <w:bookmarkEnd w:id="0"/>
    <w:bookmarkEnd w:id="1"/>
    <w:bookmarkEnd w:id="2"/>
    <w:p w14:paraId="69E17FE2">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p>
    <w:p w14:paraId="34941C9C">
      <w:pPr>
        <w:keepNext w:val="0"/>
        <w:keepLines w:val="0"/>
        <w:pageBreakBefore w:val="0"/>
        <w:widowControl/>
        <w:tabs>
          <w:tab w:val="left" w:pos="825"/>
          <w:tab w:val="center" w:pos="4426"/>
        </w:tabs>
        <w:kinsoku/>
        <w:wordWrap/>
        <w:overflowPunct/>
        <w:topLinePunct w:val="0"/>
        <w:autoSpaceDE/>
        <w:autoSpaceDN/>
        <w:bidi w:val="0"/>
        <w:adjustRightInd w:val="0"/>
        <w:snapToGrid w:val="0"/>
        <w:spacing w:line="240" w:lineRule="auto"/>
        <w:jc w:val="center"/>
        <w:textAlignment w:val="auto"/>
        <w:outlineLvl w:val="0"/>
        <w:rPr>
          <w:rFonts w:hint="eastAsia" w:ascii="宋体" w:hAnsi="宋体" w:eastAsia="宋体" w:cs="Times New Roman"/>
          <w:b/>
          <w:sz w:val="52"/>
          <w:szCs w:val="52"/>
          <w:lang w:val="en-US" w:eastAsia="zh-CN"/>
        </w:rPr>
      </w:pPr>
      <w:r>
        <w:rPr>
          <w:rFonts w:hint="eastAsia" w:ascii="宋体" w:hAnsi="宋体" w:eastAsia="宋体" w:cs="Times New Roman"/>
          <w:b/>
          <w:sz w:val="52"/>
          <w:szCs w:val="52"/>
          <w:lang w:val="en-US" w:eastAsia="zh-CN"/>
        </w:rPr>
        <w:t>红星电商大楼一楼商铺（第二次）公开招租公告</w:t>
      </w:r>
    </w:p>
    <w:p w14:paraId="3974013F">
      <w:pPr>
        <w:shd w:val="clear" w:color="000000" w:fill="FFFFFF"/>
        <w:spacing w:line="3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根据招租计划，抚州市东乡区城投资产经营管理有限公司现对红星电商大楼一楼商铺面向社会公开招租，欢迎符合条件的投标人参与。</w:t>
      </w:r>
    </w:p>
    <w:p w14:paraId="157BEDD7">
      <w:pPr>
        <w:numPr>
          <w:ilvl w:val="0"/>
          <w:numId w:val="1"/>
        </w:numPr>
        <w:shd w:val="clear" w:color="000000" w:fill="FFFFFF"/>
        <w:spacing w:line="360" w:lineRule="exact"/>
        <w:ind w:firstLine="562" w:firstLineChars="200"/>
        <w:rPr>
          <w:rFonts w:hint="eastAsia" w:ascii="宋体" w:hAnsi="宋体" w:eastAsia="宋体" w:cs="Times New Roman"/>
          <w:b/>
          <w:sz w:val="28"/>
          <w:szCs w:val="28"/>
          <w:shd w:val="clear" w:color="000000" w:fill="FFFFFF"/>
        </w:rPr>
      </w:pPr>
      <w:r>
        <w:rPr>
          <w:rFonts w:hint="eastAsia" w:ascii="宋体" w:hAnsi="宋体" w:eastAsia="宋体" w:cs="Times New Roman"/>
          <w:b/>
          <w:sz w:val="28"/>
          <w:szCs w:val="28"/>
          <w:shd w:val="clear" w:color="000000" w:fill="FFFFFF"/>
        </w:rPr>
        <w:t>招标内容：</w:t>
      </w:r>
    </w:p>
    <w:p w14:paraId="00F4E327">
      <w:pPr>
        <w:pStyle w:val="7"/>
        <w:numPr>
          <w:ilvl w:val="0"/>
          <w:numId w:val="0"/>
        </w:numPr>
        <w:ind w:firstLine="480" w:firstLineChars="200"/>
      </w:pPr>
      <w:r>
        <w:rPr>
          <w:rFonts w:ascii="宋体" w:hAnsi="宋体" w:eastAsia="宋体" w:cs="宋体"/>
          <w:sz w:val="24"/>
          <w:szCs w:val="24"/>
        </w:rPr>
        <w:t>本次招</w:t>
      </w:r>
      <w:r>
        <w:rPr>
          <w:rFonts w:hint="eastAsia" w:ascii="宋体" w:hAnsi="宋体" w:eastAsia="宋体" w:cs="宋体"/>
          <w:sz w:val="24"/>
          <w:szCs w:val="24"/>
        </w:rPr>
        <w:t>租</w:t>
      </w:r>
      <w:r>
        <w:rPr>
          <w:rFonts w:ascii="宋体" w:hAnsi="宋体" w:eastAsia="宋体" w:cs="宋体"/>
          <w:sz w:val="24"/>
          <w:szCs w:val="24"/>
        </w:rPr>
        <w:t>共分为三个标段，各标段商铺信息及最低控制单价如下：</w:t>
      </w:r>
    </w:p>
    <w:tbl>
      <w:tblPr>
        <w:tblStyle w:val="9"/>
        <w:tblpPr w:leftFromText="180" w:rightFromText="180" w:vertAnchor="text" w:horzAnchor="page" w:tblpX="2104" w:tblpY="4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2916"/>
        <w:gridCol w:w="1896"/>
        <w:gridCol w:w="1896"/>
      </w:tblGrid>
      <w:tr w14:paraId="63B42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409" w:type="dxa"/>
            <w:tcBorders>
              <w:top w:val="single" w:color="auto" w:sz="4" w:space="0"/>
              <w:left w:val="single" w:color="auto" w:sz="4" w:space="0"/>
              <w:bottom w:val="single" w:color="auto" w:sz="4" w:space="0"/>
              <w:right w:val="single" w:color="auto" w:sz="4" w:space="0"/>
            </w:tcBorders>
            <w:shd w:val="clear" w:color="auto" w:fill="FFFFFF"/>
            <w:vAlign w:val="center"/>
          </w:tcPr>
          <w:p w14:paraId="01BF9774">
            <w:pPr>
              <w:keepNext w:val="0"/>
              <w:keepLines w:val="0"/>
              <w:widowControl/>
              <w:suppressLineNumbers w:val="0"/>
              <w:jc w:val="center"/>
              <w:textAlignment w:val="center"/>
              <w:rPr>
                <w:rFonts w:hint="eastAsia" w:ascii="宋体" w:hAnsi="宋体" w:eastAsia="宋体" w:cs="Times New Roman"/>
                <w:b/>
                <w:i w:val="0"/>
                <w:kern w:val="0"/>
                <w:sz w:val="21"/>
                <w:szCs w:val="21"/>
                <w:lang w:val="en-US" w:eastAsia="zh-CN" w:bidi="ar-SA"/>
              </w:rPr>
            </w:pPr>
            <w:r>
              <w:rPr>
                <w:rFonts w:hint="eastAsia" w:ascii="宋体" w:hAnsi="宋体" w:eastAsia="宋体" w:cs="宋体"/>
                <w:b/>
                <w:i w:val="0"/>
                <w:iCs w:val="0"/>
                <w:color w:val="000000"/>
                <w:kern w:val="0"/>
                <w:sz w:val="21"/>
                <w:szCs w:val="21"/>
                <w:u w:val="none"/>
                <w:lang w:val="en-US" w:eastAsia="zh-CN" w:bidi="ar"/>
              </w:rPr>
              <w:t>标段</w:t>
            </w:r>
          </w:p>
        </w:tc>
        <w:tc>
          <w:tcPr>
            <w:tcW w:w="2916" w:type="dxa"/>
            <w:tcBorders>
              <w:top w:val="single" w:color="auto" w:sz="4" w:space="0"/>
              <w:left w:val="single" w:color="auto" w:sz="4" w:space="0"/>
              <w:bottom w:val="single" w:color="auto" w:sz="4" w:space="0"/>
              <w:right w:val="single" w:color="auto" w:sz="4" w:space="0"/>
            </w:tcBorders>
            <w:shd w:val="clear" w:color="auto" w:fill="FFFFFF"/>
            <w:vAlign w:val="center"/>
          </w:tcPr>
          <w:p w14:paraId="5DE9606B">
            <w:pPr>
              <w:widowControl w:val="0"/>
              <w:spacing w:line="360" w:lineRule="exact"/>
              <w:jc w:val="center"/>
              <w:rPr>
                <w:rFonts w:hint="eastAsia" w:ascii="宋体" w:hAnsi="宋体" w:eastAsia="宋体" w:cs="Times New Roman"/>
                <w:b/>
                <w:i w:val="0"/>
                <w:color w:val="000000" w:themeColor="dark1"/>
                <w:kern w:val="0"/>
                <w:sz w:val="21"/>
                <w:szCs w:val="21"/>
                <w:lang w:val="en-US" w:eastAsia="zh-CN" w:bidi="ar-SA"/>
                <w14:textFill>
                  <w14:solidFill>
                    <w14:schemeClr w14:val="dk1"/>
                  </w14:solidFill>
                </w14:textFill>
              </w:rPr>
            </w:pPr>
            <w:r>
              <w:rPr>
                <w:rFonts w:hint="eastAsia" w:ascii="宋体" w:hAnsi="宋体" w:eastAsia="宋体" w:cs="Times New Roman"/>
                <w:b/>
                <w:i w:val="0"/>
                <w:color w:val="000000" w:themeColor="dark1"/>
                <w:sz w:val="21"/>
                <w:szCs w:val="21"/>
                <w14:textFill>
                  <w14:solidFill>
                    <w14:schemeClr w14:val="dk1"/>
                  </w14:solidFill>
                </w14:textFill>
              </w:rPr>
              <w:t>最低控制单价（元/㎡/月）</w:t>
            </w:r>
          </w:p>
        </w:tc>
        <w:tc>
          <w:tcPr>
            <w:tcW w:w="1896" w:type="dxa"/>
            <w:tcBorders>
              <w:top w:val="single" w:color="auto" w:sz="4" w:space="0"/>
              <w:left w:val="single" w:color="auto" w:sz="4" w:space="0"/>
              <w:bottom w:val="single" w:color="auto" w:sz="4" w:space="0"/>
              <w:right w:val="single" w:color="auto" w:sz="4" w:space="0"/>
            </w:tcBorders>
            <w:shd w:val="clear" w:color="auto" w:fill="FFFFFF"/>
            <w:vAlign w:val="center"/>
          </w:tcPr>
          <w:p w14:paraId="212FE2AF">
            <w:pPr>
              <w:widowControl w:val="0"/>
              <w:spacing w:line="360" w:lineRule="exact"/>
              <w:jc w:val="center"/>
              <w:rPr>
                <w:rFonts w:hint="eastAsia" w:ascii="宋体" w:hAnsi="宋体" w:eastAsia="宋体" w:cs="Times New Roman"/>
                <w:b/>
                <w:i w:val="0"/>
                <w:color w:val="000000" w:themeColor="dark1"/>
                <w:kern w:val="0"/>
                <w:sz w:val="21"/>
                <w:szCs w:val="21"/>
                <w:lang w:val="en-US" w:eastAsia="zh-CN" w:bidi="ar-SA"/>
                <w14:textFill>
                  <w14:solidFill>
                    <w14:schemeClr w14:val="dk1"/>
                  </w14:solidFill>
                </w14:textFill>
              </w:rPr>
            </w:pPr>
            <w:r>
              <w:rPr>
                <w:rFonts w:hint="eastAsia" w:ascii="宋体" w:hAnsi="宋体" w:eastAsia="宋体" w:cs="Times New Roman"/>
                <w:b/>
                <w:i w:val="0"/>
                <w:color w:val="000000" w:themeColor="dark1"/>
                <w:sz w:val="21"/>
                <w:szCs w:val="21"/>
                <w14:textFill>
                  <w14:solidFill>
                    <w14:schemeClr w14:val="dk1"/>
                  </w14:solidFill>
                </w14:textFill>
              </w:rPr>
              <w:t>最低控制单价（元 /㎡/ 月）</w:t>
            </w:r>
          </w:p>
        </w:tc>
        <w:tc>
          <w:tcPr>
            <w:tcW w:w="1896" w:type="dxa"/>
            <w:tcBorders>
              <w:top w:val="single" w:color="auto" w:sz="4" w:space="0"/>
              <w:left w:val="single" w:color="auto" w:sz="4" w:space="0"/>
              <w:bottom w:val="single" w:color="auto" w:sz="4" w:space="0"/>
              <w:right w:val="single" w:color="auto" w:sz="4" w:space="0"/>
            </w:tcBorders>
            <w:shd w:val="clear" w:color="auto" w:fill="FFFFFF"/>
            <w:vAlign w:val="center"/>
          </w:tcPr>
          <w:p w14:paraId="7CFC5204">
            <w:pPr>
              <w:widowControl w:val="0"/>
              <w:spacing w:line="360" w:lineRule="exact"/>
              <w:jc w:val="center"/>
              <w:rPr>
                <w:rFonts w:hint="eastAsia" w:ascii="宋体" w:hAnsi="宋体" w:eastAsia="宋体" w:cs="Times New Roman"/>
                <w:b/>
                <w:i w:val="0"/>
                <w:color w:val="000000" w:themeColor="dark1"/>
                <w:sz w:val="21"/>
                <w:szCs w:val="21"/>
                <w:lang w:val="en-US" w:eastAsia="zh-CN"/>
                <w14:textFill>
                  <w14:solidFill>
                    <w14:schemeClr w14:val="dk1"/>
                  </w14:solidFill>
                </w14:textFill>
              </w:rPr>
            </w:pPr>
            <w:r>
              <w:rPr>
                <w:rFonts w:hint="eastAsia" w:ascii="宋体" w:hAnsi="宋体" w:eastAsia="宋体" w:cs="Times New Roman"/>
                <w:b/>
                <w:i w:val="0"/>
                <w:color w:val="000000" w:themeColor="dark1"/>
                <w:sz w:val="21"/>
                <w:szCs w:val="21"/>
                <w:lang w:val="en-US" w:eastAsia="zh-CN"/>
                <w14:textFill>
                  <w14:solidFill>
                    <w14:schemeClr w14:val="dk1"/>
                  </w14:solidFill>
                </w14:textFill>
              </w:rPr>
              <w:t>备注</w:t>
            </w:r>
          </w:p>
        </w:tc>
      </w:tr>
      <w:tr w14:paraId="2FA6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409" w:type="dxa"/>
            <w:tcBorders>
              <w:top w:val="single" w:color="auto" w:sz="4" w:space="0"/>
              <w:left w:val="single" w:color="auto" w:sz="4" w:space="0"/>
              <w:bottom w:val="single" w:color="auto" w:sz="4" w:space="0"/>
              <w:right w:val="single" w:color="auto" w:sz="4" w:space="0"/>
            </w:tcBorders>
            <w:shd w:val="clear" w:color="auto" w:fill="FFFFFF"/>
          </w:tcPr>
          <w:p w14:paraId="216B2C57">
            <w:pPr>
              <w:widowControl w:val="0"/>
              <w:spacing w:line="360" w:lineRule="exact"/>
              <w:jc w:val="center"/>
              <w:rPr>
                <w:rFonts w:hint="eastAsia" w:ascii="宋体" w:hAnsi="宋体" w:eastAsia="宋体" w:cs="宋体"/>
                <w:b w:val="0"/>
                <w:i w:val="0"/>
                <w:iCs w:val="0"/>
                <w:color w:val="000000"/>
                <w:kern w:val="0"/>
                <w:sz w:val="24"/>
                <w:szCs w:val="24"/>
                <w:u w:val="none"/>
                <w:lang w:val="en-US" w:eastAsia="zh-CN" w:bidi="ar"/>
              </w:rPr>
            </w:pPr>
          </w:p>
          <w:p w14:paraId="7159D71F">
            <w:pPr>
              <w:widowControl w:val="0"/>
              <w:spacing w:line="360" w:lineRule="exact"/>
              <w:jc w:val="center"/>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一标段</w:t>
            </w:r>
          </w:p>
          <w:p w14:paraId="156C4ADF">
            <w:pPr>
              <w:widowControl w:val="0"/>
              <w:jc w:val="center"/>
              <w:rPr>
                <w:rFonts w:hint="eastAsia"/>
                <w:sz w:val="24"/>
                <w:szCs w:val="24"/>
                <w:lang w:val="en-US" w:eastAsia="zh-CN"/>
              </w:rPr>
            </w:pPr>
          </w:p>
        </w:tc>
        <w:tc>
          <w:tcPr>
            <w:tcW w:w="2916" w:type="dxa"/>
            <w:tcBorders>
              <w:top w:val="single" w:color="auto" w:sz="4" w:space="0"/>
              <w:left w:val="single" w:color="auto" w:sz="4" w:space="0"/>
              <w:bottom w:val="single" w:color="auto" w:sz="4" w:space="0"/>
              <w:right w:val="single" w:color="auto" w:sz="4" w:space="0"/>
            </w:tcBorders>
            <w:shd w:val="clear" w:color="auto" w:fill="FFFFFF"/>
            <w:vAlign w:val="top"/>
          </w:tcPr>
          <w:p w14:paraId="1029D1D6">
            <w:pPr>
              <w:widowControl w:val="0"/>
              <w:jc w:val="center"/>
              <w:rPr>
                <w:rFonts w:hint="eastAsia" w:ascii="宋体" w:hAnsi="宋体" w:eastAsia="宋体" w:cs="宋体"/>
                <w:b w:val="0"/>
                <w:i w:val="0"/>
                <w:iCs w:val="0"/>
                <w:color w:val="000000"/>
                <w:kern w:val="0"/>
                <w:sz w:val="24"/>
                <w:szCs w:val="24"/>
                <w:u w:val="none"/>
                <w:shd w:val="clear" w:color="auto" w:fill="auto"/>
                <w:lang w:val="en-US" w:eastAsia="zh-CN" w:bidi="ar"/>
              </w:rPr>
            </w:pPr>
          </w:p>
          <w:p w14:paraId="18F5D846">
            <w:pPr>
              <w:widowControl w:val="0"/>
              <w:jc w:val="center"/>
              <w:rPr>
                <w:rFonts w:hint="eastAsia" w:ascii="宋体" w:hAnsi="宋体" w:eastAsia="宋体" w:cs="宋体"/>
                <w:b w:val="0"/>
                <w:i w:val="0"/>
                <w:iCs w:val="0"/>
                <w:color w:val="000000"/>
                <w:kern w:val="0"/>
                <w:sz w:val="24"/>
                <w:szCs w:val="24"/>
                <w:u w:val="none"/>
                <w:shd w:val="clear" w:color="auto" w:fill="auto"/>
                <w:lang w:val="en-US" w:eastAsia="zh-CN" w:bidi="ar"/>
              </w:rPr>
            </w:pPr>
            <w:r>
              <w:rPr>
                <w:rFonts w:hint="eastAsia" w:ascii="宋体" w:hAnsi="宋体" w:eastAsia="宋体" w:cs="宋体"/>
                <w:b w:val="0"/>
                <w:i w:val="0"/>
                <w:iCs w:val="0"/>
                <w:color w:val="000000"/>
                <w:kern w:val="0"/>
                <w:sz w:val="24"/>
                <w:szCs w:val="24"/>
                <w:u w:val="none"/>
                <w:shd w:val="clear" w:color="auto" w:fill="auto"/>
                <w:lang w:val="en-US" w:eastAsia="zh-CN" w:bidi="ar"/>
              </w:rPr>
              <w:t>店面104（84.37㎡）</w:t>
            </w:r>
          </w:p>
          <w:p w14:paraId="560BD5A2">
            <w:pPr>
              <w:widowControl w:val="0"/>
              <w:jc w:val="center"/>
              <w:rPr>
                <w:rFonts w:hint="default" w:ascii="宋体" w:hAnsi="宋体" w:eastAsia="宋体" w:cs="Times New Roman"/>
                <w:b w:val="0"/>
                <w:i w:val="0"/>
                <w:color w:val="08090C"/>
                <w:sz w:val="24"/>
                <w:szCs w:val="24"/>
                <w:shd w:val="clear" w:color="000000" w:fill="FFFFFF"/>
                <w:vertAlign w:val="baseline"/>
                <w:lang w:val="en-US" w:eastAsia="zh-CN"/>
              </w:rPr>
            </w:pPr>
          </w:p>
        </w:tc>
        <w:tc>
          <w:tcPr>
            <w:tcW w:w="1896" w:type="dxa"/>
            <w:tcBorders>
              <w:top w:val="single" w:color="auto" w:sz="4" w:space="0"/>
              <w:left w:val="single" w:color="auto" w:sz="4" w:space="0"/>
              <w:bottom w:val="single" w:color="auto" w:sz="4" w:space="0"/>
              <w:right w:val="single" w:color="auto" w:sz="4" w:space="0"/>
            </w:tcBorders>
            <w:shd w:val="clear" w:color="auto" w:fill="FFFFFF"/>
          </w:tcPr>
          <w:p w14:paraId="24C0FC01">
            <w:pPr>
              <w:widowControl w:val="0"/>
              <w:spacing w:line="360" w:lineRule="exact"/>
              <w:jc w:val="center"/>
              <w:rPr>
                <w:rFonts w:hint="eastAsia" w:ascii="宋体" w:hAnsi="宋体" w:eastAsia="宋体" w:cs="Times New Roman"/>
                <w:b w:val="0"/>
                <w:i w:val="0"/>
                <w:color w:val="08090C"/>
                <w:sz w:val="24"/>
                <w:szCs w:val="24"/>
                <w:shd w:val="clear" w:color="000000" w:fill="FFFFFF"/>
                <w:vertAlign w:val="baseline"/>
                <w:lang w:val="en-US" w:eastAsia="zh-CN"/>
              </w:rPr>
            </w:pPr>
          </w:p>
          <w:p w14:paraId="1D60B6E6">
            <w:pPr>
              <w:widowControl w:val="0"/>
              <w:spacing w:line="360" w:lineRule="exact"/>
              <w:jc w:val="center"/>
              <w:rPr>
                <w:rFonts w:hint="default" w:ascii="宋体" w:hAnsi="宋体" w:eastAsia="宋体" w:cs="Times New Roman"/>
                <w:b w:val="0"/>
                <w:i w:val="0"/>
                <w:color w:val="08090C"/>
                <w:sz w:val="24"/>
                <w:szCs w:val="24"/>
                <w:shd w:val="clear" w:color="000000" w:fill="FFFFFF"/>
                <w:vertAlign w:val="baseline"/>
                <w:lang w:val="en-US" w:eastAsia="zh-CN"/>
              </w:rPr>
            </w:pPr>
            <w:r>
              <w:rPr>
                <w:rFonts w:hint="eastAsia" w:ascii="宋体" w:hAnsi="宋体" w:eastAsia="宋体" w:cs="Times New Roman"/>
                <w:b w:val="0"/>
                <w:i w:val="0"/>
                <w:color w:val="08090C"/>
                <w:sz w:val="24"/>
                <w:szCs w:val="24"/>
                <w:shd w:val="clear" w:color="000000" w:fill="FFFFFF"/>
                <w:vertAlign w:val="baseline"/>
                <w:lang w:val="en-US" w:eastAsia="zh-CN"/>
              </w:rPr>
              <w:t>40</w:t>
            </w:r>
          </w:p>
        </w:tc>
        <w:tc>
          <w:tcPr>
            <w:tcW w:w="1896" w:type="dxa"/>
            <w:vMerge w:val="restart"/>
            <w:tcBorders>
              <w:top w:val="single" w:color="auto" w:sz="4" w:space="0"/>
              <w:left w:val="single" w:color="auto" w:sz="4" w:space="0"/>
              <w:bottom w:val="single" w:color="auto" w:sz="4" w:space="0"/>
              <w:right w:val="single" w:color="auto" w:sz="4" w:space="0"/>
            </w:tcBorders>
            <w:shd w:val="clear" w:color="auto" w:fill="FFFFFF"/>
          </w:tcPr>
          <w:p w14:paraId="484E84AB">
            <w:pPr>
              <w:widowControl w:val="0"/>
              <w:spacing w:line="360" w:lineRule="exact"/>
              <w:jc w:val="center"/>
              <w:rPr>
                <w:rFonts w:hint="eastAsia" w:ascii="宋体" w:hAnsi="宋体" w:eastAsia="宋体" w:cs="Times New Roman"/>
                <w:b w:val="0"/>
                <w:i w:val="0"/>
                <w:color w:val="08090C"/>
                <w:sz w:val="28"/>
                <w:szCs w:val="28"/>
                <w:shd w:val="clear" w:color="000000" w:fill="FFFFFF"/>
                <w:vertAlign w:val="baseline"/>
                <w:lang w:val="en-US" w:eastAsia="zh-CN"/>
              </w:rPr>
            </w:pPr>
          </w:p>
          <w:p w14:paraId="5B03DE5B">
            <w:pPr>
              <w:widowControl w:val="0"/>
              <w:spacing w:line="360" w:lineRule="exact"/>
              <w:jc w:val="both"/>
              <w:rPr>
                <w:rFonts w:hint="eastAsia" w:ascii="宋体" w:hAnsi="宋体" w:eastAsia="宋体" w:cs="Times New Roman"/>
                <w:b w:val="0"/>
                <w:i w:val="0"/>
                <w:color w:val="08090C"/>
                <w:sz w:val="24"/>
                <w:szCs w:val="24"/>
                <w:shd w:val="clear" w:color="000000" w:fill="FFFFFF"/>
                <w:vertAlign w:val="baseline"/>
                <w:lang w:val="en-US" w:eastAsia="zh-CN"/>
              </w:rPr>
            </w:pPr>
          </w:p>
          <w:p w14:paraId="069110C9">
            <w:pPr>
              <w:widowControl w:val="0"/>
              <w:spacing w:line="360" w:lineRule="exact"/>
              <w:jc w:val="center"/>
              <w:rPr>
                <w:rFonts w:hint="default" w:ascii="宋体" w:hAnsi="宋体" w:eastAsia="宋体" w:cs="Times New Roman"/>
                <w:b w:val="0"/>
                <w:i w:val="0"/>
                <w:color w:val="08090C"/>
                <w:sz w:val="28"/>
                <w:szCs w:val="28"/>
                <w:shd w:val="clear" w:color="000000" w:fill="FFFFFF"/>
                <w:vertAlign w:val="baseline"/>
                <w:lang w:val="en-US" w:eastAsia="zh-CN"/>
              </w:rPr>
            </w:pPr>
            <w:r>
              <w:rPr>
                <w:rFonts w:hint="eastAsia" w:ascii="宋体" w:hAnsi="宋体" w:eastAsia="宋体" w:cs="Times New Roman"/>
                <w:b/>
                <w:bCs/>
                <w:i w:val="0"/>
                <w:color w:val="08090C"/>
                <w:sz w:val="24"/>
                <w:szCs w:val="24"/>
                <w:shd w:val="clear" w:color="000000" w:fill="FFFFFF"/>
                <w:vertAlign w:val="baseline"/>
                <w:lang w:val="en-US" w:eastAsia="zh-CN"/>
              </w:rPr>
              <w:t>低于最低控制价为无效报价，报价最高排序第一为中标人。</w:t>
            </w:r>
          </w:p>
        </w:tc>
      </w:tr>
      <w:tr w14:paraId="5ABB4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Borders>
              <w:top w:val="single" w:color="auto" w:sz="4" w:space="0"/>
              <w:left w:val="single" w:color="auto" w:sz="4" w:space="0"/>
              <w:bottom w:val="single" w:color="auto" w:sz="4" w:space="0"/>
              <w:right w:val="single" w:color="auto" w:sz="4" w:space="0"/>
            </w:tcBorders>
            <w:shd w:val="clear" w:color="auto" w:fill="F2F2F2"/>
          </w:tcPr>
          <w:p w14:paraId="0382D153">
            <w:pPr>
              <w:widowControl w:val="0"/>
              <w:jc w:val="center"/>
              <w:rPr>
                <w:rFonts w:hint="eastAsia" w:ascii="宋体" w:hAnsi="宋体" w:eastAsia="宋体" w:cs="宋体"/>
                <w:b w:val="0"/>
                <w:i w:val="0"/>
                <w:iCs w:val="0"/>
                <w:color w:val="000000"/>
                <w:kern w:val="0"/>
                <w:sz w:val="24"/>
                <w:szCs w:val="24"/>
                <w:u w:val="none"/>
                <w:shd w:val="clear" w:color="auto" w:fill="auto"/>
                <w:lang w:val="en-US" w:eastAsia="zh-CN" w:bidi="ar"/>
              </w:rPr>
            </w:pPr>
          </w:p>
          <w:p w14:paraId="30AE8236">
            <w:pPr>
              <w:widowControl w:val="0"/>
              <w:jc w:val="center"/>
              <w:rPr>
                <w:rFonts w:hint="default" w:ascii="宋体" w:hAnsi="宋体" w:eastAsia="宋体" w:cs="宋体"/>
                <w:b w:val="0"/>
                <w:i w:val="0"/>
                <w:iCs w:val="0"/>
                <w:color w:val="000000"/>
                <w:kern w:val="0"/>
                <w:sz w:val="24"/>
                <w:szCs w:val="24"/>
                <w:u w:val="none"/>
                <w:shd w:val="clear" w:color="auto" w:fill="auto"/>
                <w:lang w:val="en-US" w:eastAsia="zh-CN" w:bidi="ar"/>
              </w:rPr>
            </w:pPr>
            <w:r>
              <w:rPr>
                <w:rFonts w:hint="eastAsia" w:ascii="宋体" w:hAnsi="宋体" w:eastAsia="宋体" w:cs="宋体"/>
                <w:b w:val="0"/>
                <w:i w:val="0"/>
                <w:iCs w:val="0"/>
                <w:color w:val="000000"/>
                <w:kern w:val="0"/>
                <w:sz w:val="24"/>
                <w:szCs w:val="24"/>
                <w:u w:val="none"/>
                <w:shd w:val="clear" w:color="auto" w:fill="auto"/>
                <w:lang w:val="en-US" w:eastAsia="zh-CN" w:bidi="ar"/>
              </w:rPr>
              <w:t>二标段</w:t>
            </w:r>
          </w:p>
        </w:tc>
        <w:tc>
          <w:tcPr>
            <w:tcW w:w="2916" w:type="dxa"/>
            <w:tcBorders>
              <w:top w:val="single" w:color="auto" w:sz="4" w:space="0"/>
              <w:left w:val="single" w:color="auto" w:sz="4" w:space="0"/>
              <w:bottom w:val="single" w:color="auto" w:sz="4" w:space="0"/>
              <w:right w:val="single" w:color="auto" w:sz="4" w:space="0"/>
            </w:tcBorders>
            <w:shd w:val="clear" w:color="auto" w:fill="F2F2F2"/>
            <w:vAlign w:val="top"/>
          </w:tcPr>
          <w:p w14:paraId="59371B4C">
            <w:pPr>
              <w:widowControl w:val="0"/>
              <w:jc w:val="center"/>
              <w:rPr>
                <w:rFonts w:hint="eastAsia" w:ascii="宋体" w:hAnsi="宋体" w:eastAsia="宋体" w:cs="宋体"/>
                <w:b w:val="0"/>
                <w:i w:val="0"/>
                <w:iCs w:val="0"/>
                <w:color w:val="000000"/>
                <w:kern w:val="0"/>
                <w:sz w:val="24"/>
                <w:szCs w:val="24"/>
                <w:u w:val="none"/>
                <w:shd w:val="clear" w:color="auto" w:fill="auto"/>
                <w:lang w:val="en-US" w:eastAsia="zh-CN" w:bidi="ar"/>
              </w:rPr>
            </w:pPr>
          </w:p>
          <w:p w14:paraId="52F5AE97">
            <w:pPr>
              <w:widowControl w:val="0"/>
              <w:jc w:val="center"/>
              <w:rPr>
                <w:rFonts w:hint="default" w:ascii="宋体" w:hAnsi="宋体" w:eastAsia="宋体" w:cs="Times New Roman"/>
                <w:b w:val="0"/>
                <w:i w:val="0"/>
                <w:color w:val="08090C"/>
                <w:sz w:val="24"/>
                <w:szCs w:val="24"/>
                <w:shd w:val="clear" w:color="auto" w:fill="auto"/>
                <w:vertAlign w:val="baseline"/>
                <w:lang w:val="en-US" w:eastAsia="zh-CN"/>
              </w:rPr>
            </w:pPr>
            <w:r>
              <w:rPr>
                <w:rFonts w:hint="eastAsia" w:ascii="宋体" w:hAnsi="宋体" w:eastAsia="宋体" w:cs="宋体"/>
                <w:b w:val="0"/>
                <w:i w:val="0"/>
                <w:iCs w:val="0"/>
                <w:color w:val="000000"/>
                <w:kern w:val="0"/>
                <w:sz w:val="24"/>
                <w:szCs w:val="24"/>
                <w:u w:val="none"/>
                <w:shd w:val="clear" w:color="auto" w:fill="auto"/>
                <w:lang w:val="en-US" w:eastAsia="zh-CN" w:bidi="ar"/>
              </w:rPr>
              <w:t>店面105（82.6㎡）</w:t>
            </w:r>
          </w:p>
        </w:tc>
        <w:tc>
          <w:tcPr>
            <w:tcW w:w="1896" w:type="dxa"/>
            <w:tcBorders>
              <w:top w:val="single" w:color="auto" w:sz="4" w:space="0"/>
              <w:left w:val="single" w:color="auto" w:sz="4" w:space="0"/>
              <w:bottom w:val="single" w:color="auto" w:sz="4" w:space="0"/>
              <w:right w:val="single" w:color="auto" w:sz="4" w:space="0"/>
            </w:tcBorders>
            <w:shd w:val="clear" w:color="auto" w:fill="F2F2F2"/>
          </w:tcPr>
          <w:p w14:paraId="26D8CA57">
            <w:pPr>
              <w:widowControl w:val="0"/>
              <w:spacing w:line="360" w:lineRule="exact"/>
              <w:jc w:val="center"/>
              <w:rPr>
                <w:rFonts w:hint="eastAsia" w:ascii="宋体" w:hAnsi="宋体" w:eastAsia="宋体" w:cs="Times New Roman"/>
                <w:b w:val="0"/>
                <w:i w:val="0"/>
                <w:color w:val="08090C"/>
                <w:sz w:val="24"/>
                <w:szCs w:val="24"/>
                <w:shd w:val="clear" w:color="auto" w:fill="auto"/>
                <w:vertAlign w:val="baseline"/>
                <w:lang w:val="en-US" w:eastAsia="zh-CN"/>
              </w:rPr>
            </w:pPr>
          </w:p>
          <w:p w14:paraId="4CA80FFC">
            <w:pPr>
              <w:widowControl w:val="0"/>
              <w:spacing w:line="360" w:lineRule="exact"/>
              <w:jc w:val="center"/>
              <w:rPr>
                <w:rFonts w:hint="default" w:ascii="宋体" w:hAnsi="宋体" w:eastAsia="宋体" w:cs="Times New Roman"/>
                <w:b w:val="0"/>
                <w:i w:val="0"/>
                <w:color w:val="08090C"/>
                <w:sz w:val="24"/>
                <w:szCs w:val="24"/>
                <w:shd w:val="clear" w:color="auto" w:fill="auto"/>
                <w:vertAlign w:val="baseline"/>
                <w:lang w:val="en-US" w:eastAsia="zh-CN"/>
              </w:rPr>
            </w:pPr>
            <w:r>
              <w:rPr>
                <w:rFonts w:hint="eastAsia" w:ascii="宋体" w:hAnsi="宋体" w:eastAsia="宋体" w:cs="Times New Roman"/>
                <w:b w:val="0"/>
                <w:i w:val="0"/>
                <w:color w:val="08090C"/>
                <w:sz w:val="24"/>
                <w:szCs w:val="24"/>
                <w:shd w:val="clear" w:color="auto" w:fill="auto"/>
                <w:vertAlign w:val="baseline"/>
                <w:lang w:val="en-US" w:eastAsia="zh-CN"/>
              </w:rPr>
              <w:t>40</w:t>
            </w:r>
          </w:p>
        </w:tc>
        <w:tc>
          <w:tcPr>
            <w:tcW w:w="1896" w:type="dxa"/>
            <w:vMerge w:val="continue"/>
            <w:tcBorders>
              <w:top w:val="single" w:color="auto" w:sz="4" w:space="0"/>
              <w:left w:val="single" w:color="auto" w:sz="4" w:space="0"/>
              <w:bottom w:val="single" w:color="auto" w:sz="4" w:space="0"/>
              <w:right w:val="single" w:color="auto" w:sz="4" w:space="0"/>
            </w:tcBorders>
            <w:shd w:val="clear" w:color="auto" w:fill="F2F2F2"/>
          </w:tcPr>
          <w:p w14:paraId="265F68E3">
            <w:pPr>
              <w:widowControl w:val="0"/>
              <w:spacing w:line="360" w:lineRule="exact"/>
              <w:jc w:val="center"/>
              <w:rPr>
                <w:rFonts w:hint="eastAsia" w:ascii="宋体" w:hAnsi="宋体" w:eastAsia="宋体" w:cs="Times New Roman"/>
                <w:b w:val="0"/>
                <w:i w:val="0"/>
                <w:color w:val="08090C"/>
                <w:sz w:val="28"/>
                <w:szCs w:val="28"/>
                <w:shd w:val="clear" w:color="000000" w:fill="FFFFFF"/>
                <w:vertAlign w:val="baseline"/>
                <w:lang w:val="en-US" w:eastAsia="zh-CN"/>
              </w:rPr>
            </w:pPr>
          </w:p>
        </w:tc>
      </w:tr>
      <w:tr w14:paraId="3BE8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tcBorders>
              <w:top w:val="single" w:color="auto" w:sz="4" w:space="0"/>
              <w:left w:val="single" w:color="auto" w:sz="4" w:space="0"/>
              <w:bottom w:val="single" w:color="auto" w:sz="4" w:space="0"/>
              <w:right w:val="single" w:color="auto" w:sz="4" w:space="0"/>
            </w:tcBorders>
            <w:shd w:val="clear" w:color="auto" w:fill="FFFFFF"/>
          </w:tcPr>
          <w:p w14:paraId="79CCC098">
            <w:pPr>
              <w:widowControl w:val="0"/>
              <w:jc w:val="center"/>
              <w:rPr>
                <w:rFonts w:hint="eastAsia" w:ascii="宋体" w:hAnsi="宋体" w:eastAsia="宋体" w:cs="宋体"/>
                <w:b w:val="0"/>
                <w:i w:val="0"/>
                <w:iCs w:val="0"/>
                <w:color w:val="000000"/>
                <w:kern w:val="0"/>
                <w:sz w:val="24"/>
                <w:szCs w:val="24"/>
                <w:u w:val="none"/>
                <w:lang w:val="en-US" w:eastAsia="zh-CN" w:bidi="ar"/>
              </w:rPr>
            </w:pPr>
          </w:p>
          <w:p w14:paraId="62D6B01F">
            <w:pPr>
              <w:widowControl w:val="0"/>
              <w:jc w:val="center"/>
              <w:rPr>
                <w:rFonts w:hint="default"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三标段</w:t>
            </w:r>
          </w:p>
        </w:tc>
        <w:tc>
          <w:tcPr>
            <w:tcW w:w="2916" w:type="dxa"/>
            <w:tcBorders>
              <w:top w:val="single" w:color="auto" w:sz="4" w:space="0"/>
              <w:left w:val="single" w:color="auto" w:sz="4" w:space="0"/>
              <w:bottom w:val="single" w:color="auto" w:sz="4" w:space="0"/>
              <w:right w:val="single" w:color="auto" w:sz="4" w:space="0"/>
            </w:tcBorders>
            <w:shd w:val="clear" w:color="auto" w:fill="FFFFFF"/>
            <w:vAlign w:val="top"/>
          </w:tcPr>
          <w:p w14:paraId="73C01E09">
            <w:pPr>
              <w:widowControl w:val="0"/>
              <w:jc w:val="center"/>
              <w:rPr>
                <w:rFonts w:hint="eastAsia" w:ascii="宋体" w:hAnsi="宋体" w:eastAsia="宋体" w:cs="宋体"/>
                <w:b w:val="0"/>
                <w:i w:val="0"/>
                <w:iCs w:val="0"/>
                <w:color w:val="000000"/>
                <w:kern w:val="0"/>
                <w:sz w:val="24"/>
                <w:szCs w:val="24"/>
                <w:u w:val="none"/>
                <w:lang w:val="en-US" w:eastAsia="zh-CN" w:bidi="ar"/>
              </w:rPr>
            </w:pPr>
          </w:p>
          <w:p w14:paraId="07F12B61">
            <w:pPr>
              <w:widowControl w:val="0"/>
              <w:jc w:val="center"/>
              <w:rPr>
                <w:rFonts w:hint="default" w:ascii="宋体" w:hAnsi="宋体" w:eastAsia="宋体" w:cs="Times New Roman"/>
                <w:b w:val="0"/>
                <w:i w:val="0"/>
                <w:color w:val="08090C"/>
                <w:sz w:val="24"/>
                <w:szCs w:val="24"/>
                <w:shd w:val="clear" w:color="000000" w:fill="FFFFFF"/>
                <w:vertAlign w:val="baseline"/>
                <w:lang w:val="en-US" w:eastAsia="zh-CN"/>
              </w:rPr>
            </w:pPr>
            <w:r>
              <w:rPr>
                <w:rFonts w:hint="eastAsia" w:ascii="宋体" w:hAnsi="宋体" w:eastAsia="宋体" w:cs="宋体"/>
                <w:b w:val="0"/>
                <w:i w:val="0"/>
                <w:iCs w:val="0"/>
                <w:color w:val="000000"/>
                <w:kern w:val="0"/>
                <w:sz w:val="24"/>
                <w:szCs w:val="24"/>
                <w:u w:val="none"/>
                <w:shd w:val="clear" w:color="auto" w:fill="auto"/>
                <w:lang w:val="en-US" w:eastAsia="zh-CN" w:bidi="ar"/>
              </w:rPr>
              <w:t>店面106（58.37㎡）</w:t>
            </w:r>
          </w:p>
        </w:tc>
        <w:tc>
          <w:tcPr>
            <w:tcW w:w="1896" w:type="dxa"/>
            <w:tcBorders>
              <w:top w:val="single" w:color="auto" w:sz="4" w:space="0"/>
              <w:left w:val="single" w:color="auto" w:sz="4" w:space="0"/>
              <w:bottom w:val="single" w:color="auto" w:sz="4" w:space="0"/>
              <w:right w:val="single" w:color="auto" w:sz="4" w:space="0"/>
            </w:tcBorders>
            <w:shd w:val="clear" w:color="auto" w:fill="FFFFFF"/>
          </w:tcPr>
          <w:p w14:paraId="509ED9F9">
            <w:pPr>
              <w:widowControl w:val="0"/>
              <w:spacing w:line="360" w:lineRule="exact"/>
              <w:jc w:val="center"/>
              <w:rPr>
                <w:rFonts w:hint="eastAsia" w:ascii="宋体" w:hAnsi="宋体" w:eastAsia="宋体" w:cs="Times New Roman"/>
                <w:b w:val="0"/>
                <w:i w:val="0"/>
                <w:color w:val="08090C"/>
                <w:sz w:val="24"/>
                <w:szCs w:val="24"/>
                <w:shd w:val="clear" w:color="000000" w:fill="FFFFFF"/>
                <w:vertAlign w:val="baseline"/>
                <w:lang w:val="en-US" w:eastAsia="zh-CN"/>
              </w:rPr>
            </w:pPr>
          </w:p>
          <w:p w14:paraId="36125B00">
            <w:pPr>
              <w:widowControl w:val="0"/>
              <w:spacing w:line="360" w:lineRule="exact"/>
              <w:jc w:val="center"/>
              <w:rPr>
                <w:rFonts w:hint="default" w:ascii="宋体" w:hAnsi="宋体" w:eastAsia="宋体" w:cs="Times New Roman"/>
                <w:b w:val="0"/>
                <w:i w:val="0"/>
                <w:color w:val="08090C"/>
                <w:sz w:val="24"/>
                <w:szCs w:val="24"/>
                <w:shd w:val="clear" w:color="000000" w:fill="FFFFFF"/>
                <w:vertAlign w:val="baseline"/>
                <w:lang w:val="en-US" w:eastAsia="zh-CN"/>
              </w:rPr>
            </w:pPr>
            <w:r>
              <w:rPr>
                <w:rFonts w:hint="eastAsia" w:ascii="宋体" w:hAnsi="宋体" w:eastAsia="宋体" w:cs="Times New Roman"/>
                <w:b w:val="0"/>
                <w:i w:val="0"/>
                <w:color w:val="08090C"/>
                <w:sz w:val="24"/>
                <w:szCs w:val="24"/>
                <w:shd w:val="clear" w:color="000000" w:fill="FFFFFF"/>
                <w:vertAlign w:val="baseline"/>
                <w:lang w:val="en-US" w:eastAsia="zh-CN"/>
              </w:rPr>
              <w:t>40</w:t>
            </w:r>
          </w:p>
        </w:tc>
        <w:tc>
          <w:tcPr>
            <w:tcW w:w="1896" w:type="dxa"/>
            <w:vMerge w:val="continue"/>
            <w:tcBorders>
              <w:top w:val="single" w:color="auto" w:sz="4" w:space="0"/>
              <w:left w:val="single" w:color="auto" w:sz="4" w:space="0"/>
              <w:bottom w:val="single" w:color="auto" w:sz="4" w:space="0"/>
              <w:right w:val="single" w:color="auto" w:sz="4" w:space="0"/>
            </w:tcBorders>
            <w:shd w:val="clear" w:color="auto" w:fill="FFFFFF"/>
          </w:tcPr>
          <w:p w14:paraId="2EA6CCE6">
            <w:pPr>
              <w:widowControl w:val="0"/>
              <w:spacing w:line="360" w:lineRule="exact"/>
              <w:jc w:val="center"/>
              <w:rPr>
                <w:rFonts w:hint="eastAsia" w:ascii="宋体" w:hAnsi="宋体" w:eastAsia="宋体" w:cs="Times New Roman"/>
                <w:b w:val="0"/>
                <w:i w:val="0"/>
                <w:color w:val="08090C"/>
                <w:sz w:val="28"/>
                <w:szCs w:val="28"/>
                <w:shd w:val="clear" w:color="000000" w:fill="FFFFFF"/>
                <w:vertAlign w:val="baseline"/>
                <w:lang w:val="en-US" w:eastAsia="zh-CN"/>
              </w:rPr>
            </w:pPr>
          </w:p>
        </w:tc>
      </w:tr>
    </w:tbl>
    <w:p w14:paraId="101F2CAE">
      <w:pPr>
        <w:shd w:val="clear" w:color="000000" w:fill="FFFFFF"/>
        <w:spacing w:line="360" w:lineRule="exact"/>
        <w:rPr>
          <w:rFonts w:hint="eastAsia" w:ascii="宋体" w:hAnsi="宋体" w:eastAsia="宋体" w:cs="Times New Roman"/>
          <w:b/>
          <w:sz w:val="28"/>
          <w:szCs w:val="28"/>
          <w:shd w:val="clear" w:color="000000" w:fill="FFFFFF"/>
          <w:lang w:val="en-US" w:eastAsia="zh-CN"/>
        </w:rPr>
      </w:pPr>
    </w:p>
    <w:p w14:paraId="30678922">
      <w:pPr>
        <w:shd w:val="clear" w:color="000000" w:fill="FFFFFF"/>
        <w:spacing w:line="360" w:lineRule="exact"/>
        <w:rPr>
          <w:rFonts w:hint="eastAsia" w:ascii="宋体" w:hAnsi="宋体" w:eastAsia="宋体" w:cs="Times New Roman"/>
          <w:b/>
          <w:sz w:val="28"/>
          <w:szCs w:val="28"/>
          <w:shd w:val="clear" w:color="000000" w:fill="FFFFFF"/>
          <w:lang w:val="en-US" w:eastAsia="zh-CN"/>
        </w:rPr>
      </w:pPr>
      <w:r>
        <w:rPr>
          <w:rFonts w:hint="eastAsia" w:ascii="宋体" w:hAnsi="宋体" w:eastAsia="宋体" w:cs="Times New Roman"/>
          <w:b/>
          <w:sz w:val="28"/>
          <w:szCs w:val="28"/>
          <w:shd w:val="clear" w:color="000000" w:fill="FFFFFF"/>
          <w:lang w:val="en-US" w:eastAsia="zh-CN"/>
        </w:rPr>
        <w:t>注：本项目按一标段、二标段、三标段顺序依次开标。投标人可同时投多个标段，但若在先前标段中已中标，则不再参与后续标段的竞标排序。</w:t>
      </w:r>
    </w:p>
    <w:p w14:paraId="5844DBE5">
      <w:pPr>
        <w:shd w:val="clear" w:color="000000" w:fill="FFFFFF"/>
        <w:spacing w:line="360" w:lineRule="exact"/>
        <w:ind w:firstLine="562" w:firstLineChars="200"/>
        <w:rPr>
          <w:rFonts w:ascii="宋体" w:hAnsi="宋体" w:eastAsia="宋体" w:cs="Times New Roman"/>
          <w:b/>
          <w:sz w:val="28"/>
          <w:szCs w:val="28"/>
        </w:rPr>
      </w:pPr>
      <w:r>
        <w:rPr>
          <w:rFonts w:hint="eastAsia" w:ascii="宋体" w:hAnsi="宋体" w:eastAsia="宋体" w:cs="Times New Roman"/>
          <w:b/>
          <w:sz w:val="28"/>
          <w:szCs w:val="28"/>
          <w:shd w:val="clear" w:color="000000" w:fill="FFFFFF"/>
          <w:lang w:val="en-US" w:eastAsia="zh-CN"/>
        </w:rPr>
        <w:t>二</w:t>
      </w:r>
      <w:r>
        <w:rPr>
          <w:rFonts w:hint="eastAsia" w:ascii="宋体" w:hAnsi="宋体" w:eastAsia="宋体" w:cs="Times New Roman"/>
          <w:b/>
          <w:sz w:val="28"/>
          <w:szCs w:val="28"/>
          <w:shd w:val="clear" w:color="000000" w:fill="FFFFFF"/>
        </w:rPr>
        <w:t>、投标人必须具备以下资格标准：</w:t>
      </w:r>
    </w:p>
    <w:p w14:paraId="459A6D8F">
      <w:pPr>
        <w:spacing w:line="360" w:lineRule="exact"/>
        <w:ind w:firstLine="560" w:firstLineChars="200"/>
        <w:rPr>
          <w:rFonts w:hint="eastAsia" w:ascii="宋体" w:hAnsi="宋体" w:eastAsia="宋体" w:cs="宋体"/>
          <w:kern w:val="21"/>
          <w:sz w:val="28"/>
          <w:szCs w:val="28"/>
        </w:rPr>
      </w:pPr>
      <w:bookmarkStart w:id="3" w:name="_Toc12413"/>
      <w:bookmarkStart w:id="4" w:name="_Toc1569"/>
      <w:bookmarkStart w:id="5" w:name="_Toc87566309"/>
      <w:r>
        <w:rPr>
          <w:rFonts w:hint="eastAsia" w:ascii="宋体" w:hAnsi="宋体" w:eastAsia="宋体" w:cs="宋体"/>
          <w:kern w:val="21"/>
          <w:sz w:val="28"/>
          <w:szCs w:val="28"/>
          <w:lang w:val="en-US" w:eastAsia="zh-CN"/>
        </w:rPr>
        <w:t>1、</w:t>
      </w:r>
      <w:r>
        <w:rPr>
          <w:rFonts w:hint="eastAsia" w:ascii="宋体" w:hAnsi="宋体" w:eastAsia="宋体" w:cs="宋体"/>
          <w:kern w:val="21"/>
          <w:sz w:val="28"/>
          <w:szCs w:val="28"/>
        </w:rPr>
        <w:t>提供本人身份证复印件（</w:t>
      </w:r>
      <w:r>
        <w:rPr>
          <w:rFonts w:hint="eastAsia" w:ascii="宋体" w:hAnsi="宋体" w:eastAsia="宋体" w:cs="宋体"/>
          <w:kern w:val="21"/>
          <w:sz w:val="28"/>
          <w:szCs w:val="28"/>
          <w:lang w:val="en-US" w:eastAsia="zh-CN"/>
        </w:rPr>
        <w:t>需</w:t>
      </w:r>
      <w:r>
        <w:rPr>
          <w:rFonts w:hint="eastAsia" w:ascii="宋体" w:hAnsi="宋体" w:eastAsia="宋体" w:cs="宋体"/>
          <w:kern w:val="21"/>
          <w:sz w:val="28"/>
          <w:szCs w:val="28"/>
        </w:rPr>
        <w:t>本人签字并按手印）；</w:t>
      </w:r>
    </w:p>
    <w:p w14:paraId="731E2AA3">
      <w:pPr>
        <w:spacing w:line="360" w:lineRule="exact"/>
        <w:ind w:firstLine="560" w:firstLineChars="200"/>
        <w:rPr>
          <w:rFonts w:hint="eastAsia" w:ascii="宋体" w:hAnsi="宋体" w:eastAsia="宋体" w:cs="宋体"/>
          <w:kern w:val="21"/>
          <w:sz w:val="28"/>
          <w:szCs w:val="28"/>
        </w:rPr>
      </w:pPr>
      <w:r>
        <w:rPr>
          <w:rFonts w:hint="eastAsia" w:ascii="宋体" w:hAnsi="宋体" w:eastAsia="宋体" w:cs="宋体"/>
          <w:kern w:val="21"/>
          <w:sz w:val="28"/>
          <w:szCs w:val="28"/>
          <w:lang w:val="en-US" w:eastAsia="zh-CN"/>
        </w:rPr>
        <w:t>2、</w:t>
      </w:r>
      <w:r>
        <w:rPr>
          <w:rFonts w:hint="eastAsia" w:ascii="宋体" w:hAnsi="宋体" w:eastAsia="宋体" w:cs="宋体"/>
          <w:kern w:val="21"/>
          <w:sz w:val="28"/>
          <w:szCs w:val="28"/>
        </w:rPr>
        <w:t>提供投标保证金缴纳回单；</w:t>
      </w:r>
    </w:p>
    <w:p w14:paraId="3132646D">
      <w:pPr>
        <w:spacing w:line="360" w:lineRule="exact"/>
        <w:ind w:firstLine="560" w:firstLineChars="200"/>
        <w:rPr>
          <w:rFonts w:hint="eastAsia" w:ascii="宋体" w:hAnsi="宋体" w:eastAsia="宋体" w:cs="宋体"/>
          <w:kern w:val="21"/>
          <w:sz w:val="28"/>
          <w:szCs w:val="28"/>
        </w:rPr>
      </w:pPr>
      <w:r>
        <w:rPr>
          <w:rFonts w:hint="eastAsia" w:ascii="宋体" w:hAnsi="宋体" w:eastAsia="宋体" w:cs="宋体"/>
          <w:kern w:val="21"/>
          <w:sz w:val="28"/>
          <w:szCs w:val="28"/>
          <w:lang w:val="en-US" w:eastAsia="zh-CN"/>
        </w:rPr>
        <w:t>3、</w:t>
      </w:r>
      <w:r>
        <w:rPr>
          <w:rFonts w:hint="eastAsia" w:ascii="宋体" w:hAnsi="宋体" w:eastAsia="宋体" w:cs="宋体"/>
          <w:kern w:val="21"/>
          <w:sz w:val="28"/>
          <w:szCs w:val="28"/>
        </w:rPr>
        <w:t>中标后不得转租。</w:t>
      </w:r>
    </w:p>
    <w:bookmarkEnd w:id="3"/>
    <w:bookmarkEnd w:id="4"/>
    <w:bookmarkEnd w:id="5"/>
    <w:p w14:paraId="7FE0C739">
      <w:pPr>
        <w:spacing w:line="360" w:lineRule="exact"/>
        <w:ind w:firstLine="562" w:firstLineChars="200"/>
        <w:rPr>
          <w:rFonts w:hint="eastAsia" w:ascii="宋体" w:hAnsi="宋体" w:eastAsia="宋体" w:cs="Times New Roman"/>
          <w:b/>
          <w:sz w:val="28"/>
          <w:szCs w:val="28"/>
        </w:rPr>
      </w:pPr>
      <w:r>
        <w:rPr>
          <w:rFonts w:hint="eastAsia" w:ascii="宋体" w:hAnsi="宋体" w:eastAsia="宋体" w:cs="Times New Roman"/>
          <w:b/>
          <w:sz w:val="28"/>
          <w:szCs w:val="28"/>
          <w:lang w:val="en-US" w:eastAsia="zh-CN"/>
        </w:rPr>
        <w:t>三</w:t>
      </w:r>
      <w:r>
        <w:rPr>
          <w:rFonts w:hint="eastAsia" w:ascii="宋体" w:hAnsi="宋体" w:eastAsia="宋体" w:cs="Times New Roman"/>
          <w:b/>
          <w:sz w:val="28"/>
          <w:szCs w:val="28"/>
        </w:rPr>
        <w:t>、报名方式：</w:t>
      </w:r>
      <w:bookmarkStart w:id="6" w:name="_Toc87566310"/>
    </w:p>
    <w:p w14:paraId="050E4D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2026年5月26日至2026年6月5日，在抚州市东乡城投集团官方网站（</w:t>
      </w:r>
      <w:r>
        <w:rPr>
          <w:rFonts w:hint="eastAsia" w:ascii="宋体" w:hAnsi="宋体" w:eastAsia="宋体" w:cstheme="minorBidi"/>
          <w:kern w:val="0"/>
          <w:sz w:val="28"/>
          <w:szCs w:val="28"/>
          <w:lang w:val="en-US" w:eastAsia="zh-CN" w:bidi="ar-SA"/>
        </w:rPr>
        <w:fldChar w:fldCharType="begin"/>
      </w:r>
      <w:r>
        <w:rPr>
          <w:rFonts w:hint="eastAsia" w:ascii="宋体" w:hAnsi="宋体" w:eastAsia="宋体" w:cstheme="minorBidi"/>
          <w:kern w:val="0"/>
          <w:sz w:val="28"/>
          <w:szCs w:val="28"/>
          <w:lang w:val="en-US" w:eastAsia="zh-CN" w:bidi="ar-SA"/>
        </w:rPr>
        <w:instrText xml:space="preserve"> HYPERLINK "http://www.fzdxctjt.cn/" </w:instrText>
      </w:r>
      <w:r>
        <w:rPr>
          <w:rFonts w:hint="eastAsia" w:ascii="宋体" w:hAnsi="宋体" w:eastAsia="宋体" w:cstheme="minorBidi"/>
          <w:kern w:val="0"/>
          <w:sz w:val="28"/>
          <w:szCs w:val="28"/>
          <w:lang w:val="en-US" w:eastAsia="zh-CN" w:bidi="ar-SA"/>
        </w:rPr>
        <w:fldChar w:fldCharType="separate"/>
      </w:r>
      <w:r>
        <w:rPr>
          <w:rFonts w:hint="eastAsia" w:ascii="宋体" w:hAnsi="宋体" w:eastAsia="宋体" w:cstheme="minorBidi"/>
          <w:kern w:val="0"/>
          <w:sz w:val="28"/>
          <w:szCs w:val="28"/>
          <w:lang w:val="en-US" w:eastAsia="zh-CN" w:bidi="ar-SA"/>
        </w:rPr>
        <w:t>http://www.fzdxctjt.cn</w:t>
      </w:r>
      <w:r>
        <w:rPr>
          <w:rFonts w:hint="eastAsia" w:ascii="宋体" w:hAnsi="宋体" w:eastAsia="宋体" w:cstheme="minorBidi"/>
          <w:kern w:val="0"/>
          <w:sz w:val="28"/>
          <w:szCs w:val="28"/>
          <w:lang w:val="en-US" w:eastAsia="zh-CN" w:bidi="ar-SA"/>
        </w:rPr>
        <w:fldChar w:fldCharType="end"/>
      </w:r>
      <w:r>
        <w:rPr>
          <w:rFonts w:hint="eastAsia" w:ascii="宋体" w:hAnsi="宋体" w:eastAsia="宋体" w:cstheme="minorBidi"/>
          <w:kern w:val="0"/>
          <w:sz w:val="28"/>
          <w:szCs w:val="28"/>
          <w:lang w:val="en-US" w:eastAsia="zh-CN" w:bidi="ar-SA"/>
        </w:rPr>
        <w:t>)通知公告栏相应公告中自行下载招租文件；如有相关补遗将在抚州市东乡城投集团官方网站（</w:t>
      </w:r>
      <w:r>
        <w:rPr>
          <w:rFonts w:hint="eastAsia" w:ascii="宋体" w:hAnsi="宋体" w:eastAsia="宋体" w:cstheme="minorBidi"/>
          <w:kern w:val="0"/>
          <w:sz w:val="28"/>
          <w:szCs w:val="28"/>
          <w:lang w:val="en-US" w:eastAsia="zh-CN" w:bidi="ar-SA"/>
        </w:rPr>
        <w:fldChar w:fldCharType="begin"/>
      </w:r>
      <w:r>
        <w:rPr>
          <w:rFonts w:hint="eastAsia" w:ascii="宋体" w:hAnsi="宋体" w:eastAsia="宋体" w:cstheme="minorBidi"/>
          <w:kern w:val="0"/>
          <w:sz w:val="28"/>
          <w:szCs w:val="28"/>
          <w:lang w:val="en-US" w:eastAsia="zh-CN" w:bidi="ar-SA"/>
        </w:rPr>
        <w:instrText xml:space="preserve"> HYPERLINK "http://www.fzdxctjt.cn/" </w:instrText>
      </w:r>
      <w:r>
        <w:rPr>
          <w:rFonts w:hint="eastAsia" w:ascii="宋体" w:hAnsi="宋体" w:eastAsia="宋体" w:cstheme="minorBidi"/>
          <w:kern w:val="0"/>
          <w:sz w:val="28"/>
          <w:szCs w:val="28"/>
          <w:lang w:val="en-US" w:eastAsia="zh-CN" w:bidi="ar-SA"/>
        </w:rPr>
        <w:fldChar w:fldCharType="separate"/>
      </w:r>
      <w:r>
        <w:rPr>
          <w:rFonts w:hint="eastAsia" w:ascii="宋体" w:hAnsi="宋体" w:eastAsia="宋体" w:cstheme="minorBidi"/>
          <w:kern w:val="0"/>
          <w:sz w:val="28"/>
          <w:szCs w:val="28"/>
          <w:lang w:val="en-US" w:eastAsia="zh-CN" w:bidi="ar-SA"/>
        </w:rPr>
        <w:t>http://www.fzdxctjt.cn</w:t>
      </w:r>
      <w:r>
        <w:rPr>
          <w:rFonts w:hint="eastAsia" w:ascii="宋体" w:hAnsi="宋体" w:eastAsia="宋体" w:cstheme="minorBidi"/>
          <w:kern w:val="0"/>
          <w:sz w:val="28"/>
          <w:szCs w:val="28"/>
          <w:lang w:val="en-US" w:eastAsia="zh-CN" w:bidi="ar-SA"/>
        </w:rPr>
        <w:fldChar w:fldCharType="end"/>
      </w:r>
      <w:r>
        <w:rPr>
          <w:rFonts w:hint="eastAsia" w:ascii="宋体" w:hAnsi="宋体" w:eastAsia="宋体" w:cstheme="minorBidi"/>
          <w:kern w:val="0"/>
          <w:sz w:val="28"/>
          <w:szCs w:val="28"/>
          <w:lang w:val="en-US" w:eastAsia="zh-CN" w:bidi="ar-SA"/>
        </w:rPr>
        <w:t>)发布相关补遗公告，不再另行通知。</w:t>
      </w:r>
    </w:p>
    <w:p w14:paraId="74FCC595">
      <w:pPr>
        <w:numPr>
          <w:ilvl w:val="0"/>
          <w:numId w:val="0"/>
        </w:numPr>
        <w:spacing w:after="60" w:line="360" w:lineRule="exact"/>
        <w:ind w:left="660" w:leftChars="0"/>
        <w:rPr>
          <w:rFonts w:hint="eastAsia" w:ascii="宋体" w:hAnsi="宋体" w:eastAsia="宋体" w:cs="Times New Roman"/>
          <w:b/>
          <w:color w:val="auto"/>
          <w:w w:val="90"/>
          <w:sz w:val="28"/>
          <w:szCs w:val="28"/>
        </w:rPr>
      </w:pPr>
    </w:p>
    <w:p w14:paraId="613D5E8C">
      <w:pPr>
        <w:numPr>
          <w:ilvl w:val="0"/>
          <w:numId w:val="2"/>
        </w:numPr>
        <w:spacing w:after="60" w:line="360" w:lineRule="exact"/>
        <w:ind w:left="154" w:leftChars="0" w:firstLine="506" w:firstLineChars="0"/>
        <w:rPr>
          <w:rFonts w:hint="eastAsia" w:ascii="宋体" w:hAnsi="宋体" w:eastAsia="宋体" w:cs="Times New Roman"/>
          <w:b/>
          <w:color w:val="auto"/>
          <w:w w:val="90"/>
          <w:sz w:val="28"/>
          <w:szCs w:val="28"/>
        </w:rPr>
      </w:pPr>
      <w:r>
        <w:rPr>
          <w:rFonts w:hint="eastAsia" w:ascii="宋体" w:hAnsi="宋体" w:eastAsia="宋体" w:cs="Times New Roman"/>
          <w:b/>
          <w:color w:val="auto"/>
          <w:w w:val="90"/>
          <w:sz w:val="28"/>
          <w:szCs w:val="28"/>
        </w:rPr>
        <w:t>开标时间及地点：</w:t>
      </w:r>
      <w:bookmarkEnd w:id="6"/>
    </w:p>
    <w:p w14:paraId="1685DB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1、开标时间：2026 年 6月 5日下午 15 时 00 分（北京时间）</w:t>
      </w:r>
    </w:p>
    <w:p w14:paraId="341993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2、开标地点：城投集团二楼会议室（新办公地点：井山嘉园小区）</w:t>
      </w:r>
    </w:p>
    <w:p w14:paraId="65DF2E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3、文件递交：投标人须在此时间前递交纸质报价单（一份），报价单请用档案袋密封提交。逾期或不符合规定的响应文件不予接受。</w:t>
      </w:r>
    </w:p>
    <w:p w14:paraId="4FCD87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4、失信处理：投标人现场签到登记后，未在开标截止时间前递交报价单的，将被列入集团投标人黑名单，禁止参与集团任何招投标事宜。</w:t>
      </w:r>
    </w:p>
    <w:p w14:paraId="4A8BE503">
      <w:pPr>
        <w:numPr>
          <w:ilvl w:val="0"/>
          <w:numId w:val="0"/>
        </w:numPr>
        <w:spacing w:after="60" w:line="360" w:lineRule="exact"/>
        <w:ind w:firstLine="560" w:firstLineChars="200"/>
        <w:rPr>
          <w:rFonts w:ascii="宋体" w:hAnsi="宋体" w:eastAsia="宋体"/>
          <w:sz w:val="28"/>
          <w:szCs w:val="28"/>
        </w:rPr>
      </w:pPr>
    </w:p>
    <w:p w14:paraId="34AD7128">
      <w:pPr>
        <w:numPr>
          <w:ilvl w:val="0"/>
          <w:numId w:val="2"/>
        </w:numPr>
        <w:spacing w:after="60" w:line="360" w:lineRule="exact"/>
        <w:ind w:left="154" w:leftChars="0" w:firstLine="506" w:firstLineChars="0"/>
        <w:rPr>
          <w:rFonts w:hint="eastAsia"/>
        </w:rPr>
      </w:pPr>
      <w:r>
        <w:rPr>
          <w:rFonts w:hint="eastAsia" w:ascii="宋体" w:hAnsi="宋体"/>
          <w:b/>
          <w:sz w:val="28"/>
          <w:szCs w:val="28"/>
        </w:rPr>
        <w:t>投标其他事宜说明：</w:t>
      </w:r>
    </w:p>
    <w:p w14:paraId="35D1FA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1、投标保证金：人民币伍仟元整（¥5,000.00）</w:t>
      </w:r>
    </w:p>
    <w:p w14:paraId="3CD424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2、缴纳账户：</w:t>
      </w:r>
    </w:p>
    <w:p w14:paraId="653E8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开户行：中国建设银行股份有限公司东乡支行</w:t>
      </w:r>
    </w:p>
    <w:p w14:paraId="33B638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 xml:space="preserve">账 号：36050185105000001861 </w:t>
      </w:r>
    </w:p>
    <w:p w14:paraId="564AE1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default"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户名：</w:t>
      </w:r>
      <w:r>
        <w:rPr>
          <w:rFonts w:hint="eastAsia" w:ascii="宋体" w:hAnsi="宋体" w:eastAsia="宋体" w:cs="仿宋"/>
          <w:sz w:val="28"/>
          <w:szCs w:val="28"/>
          <w:lang w:val="en-US" w:eastAsia="zh-CN"/>
        </w:rPr>
        <w:t>抚州市东乡区城投资产经营管理有限公司</w:t>
      </w:r>
      <w:r>
        <w:rPr>
          <w:rFonts w:hint="eastAsia" w:ascii="宋体" w:hAnsi="宋体" w:eastAsia="宋体" w:cs="仿宋"/>
          <w:sz w:val="28"/>
          <w:szCs w:val="28"/>
        </w:rPr>
        <w:t xml:space="preserve"> </w:t>
      </w:r>
    </w:p>
    <w:p w14:paraId="1DA9C3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560" w:firstLineChars="200"/>
        <w:jc w:val="left"/>
        <w:rPr>
          <w:rFonts w:hint="eastAsia" w:ascii="宋体" w:hAnsi="宋体" w:eastAsia="宋体" w:cstheme="minorBidi"/>
          <w:kern w:val="0"/>
          <w:sz w:val="28"/>
          <w:szCs w:val="28"/>
          <w:lang w:val="en-US" w:eastAsia="zh-CN" w:bidi="ar-SA"/>
        </w:rPr>
      </w:pPr>
      <w:r>
        <w:rPr>
          <w:rFonts w:hint="eastAsia" w:ascii="宋体" w:hAnsi="宋体" w:eastAsia="宋体" w:cstheme="minorBidi"/>
          <w:kern w:val="0"/>
          <w:sz w:val="28"/>
          <w:szCs w:val="28"/>
          <w:lang w:val="en-US" w:eastAsia="zh-CN" w:bidi="ar-SA"/>
        </w:rPr>
        <w:t>3、已下载报价单并缴纳投标保证金的投标人，如因特殊情况不能参加投标，须在报价单提交截止时间三日前书面通知招标人放弃投标，可不列入黑名单。未按规定书面通知的，将被列入集团投标人黑名单并禁止参与集团任何招投标事宜（详见报价单）。</w:t>
      </w:r>
    </w:p>
    <w:p w14:paraId="4F3C10FA">
      <w:pPr>
        <w:ind w:firstLine="562" w:firstLineChars="200"/>
        <w:rPr>
          <w:rFonts w:hint="eastAsia" w:ascii="宋体" w:hAnsi="宋体" w:cstheme="minorBidi"/>
          <w:b/>
          <w:bCs/>
          <w:kern w:val="0"/>
          <w:sz w:val="28"/>
          <w:szCs w:val="28"/>
          <w:lang w:val="en-US" w:eastAsia="zh-CN"/>
        </w:rPr>
      </w:pPr>
      <w:r>
        <w:rPr>
          <w:rFonts w:hint="eastAsia" w:ascii="宋体" w:hAnsi="宋体" w:eastAsia="宋体" w:cs="Times New Roman"/>
          <w:b/>
          <w:kern w:val="2"/>
          <w:sz w:val="28"/>
          <w:szCs w:val="28"/>
          <w:lang w:val="en-US" w:eastAsia="zh-CN" w:bidi="ar-SA"/>
        </w:rPr>
        <w:t>六、</w:t>
      </w:r>
      <w:r>
        <w:rPr>
          <w:rFonts w:hint="eastAsia" w:ascii="宋体" w:hAnsi="宋体" w:eastAsia="宋体" w:cstheme="minorBidi"/>
          <w:b/>
          <w:bCs/>
          <w:kern w:val="0"/>
          <w:sz w:val="28"/>
          <w:szCs w:val="28"/>
          <w:lang w:val="en-US" w:eastAsia="zh-CN" w:bidi="ar-SA"/>
        </w:rPr>
        <w:t>如有标段流标，现场采取一次现场报价。现场报价可不按照原有标段划分，可按单间商铺单独报价，低于最低控制价为无效报价，报价最高排序第一为中标人。中标后保证金自动转为履约保证金，待项目完成交付后，双方再正式签订租赁合同。</w:t>
      </w:r>
    </w:p>
    <w:p w14:paraId="463C99AB">
      <w:pPr>
        <w:ind w:firstLine="562" w:firstLineChars="200"/>
        <w:rPr>
          <w:rFonts w:ascii="宋体" w:hAnsi="宋体" w:eastAsia="宋体" w:cs="Times New Roman"/>
          <w:b/>
          <w:sz w:val="28"/>
          <w:szCs w:val="28"/>
        </w:rPr>
      </w:pPr>
      <w:r>
        <w:rPr>
          <w:rFonts w:hint="eastAsia" w:ascii="宋体" w:hAnsi="宋体" w:eastAsia="宋体" w:cs="Times New Roman"/>
          <w:b/>
          <w:sz w:val="28"/>
          <w:szCs w:val="28"/>
        </w:rPr>
        <w:t>七、</w:t>
      </w:r>
      <w:r>
        <w:rPr>
          <w:rFonts w:hint="eastAsia" w:ascii="宋体" w:hAnsi="宋体" w:eastAsia="宋体" w:cs="Times New Roman"/>
          <w:b/>
          <w:sz w:val="28"/>
          <w:szCs w:val="28"/>
          <w:shd w:val="clear" w:color="000000" w:fill="FFFFFF"/>
        </w:rPr>
        <w:t>联系方式：</w:t>
      </w:r>
    </w:p>
    <w:p w14:paraId="0D98324A">
      <w:pPr>
        <w:spacing w:line="360" w:lineRule="exact"/>
        <w:ind w:firstLine="560" w:firstLineChars="200"/>
        <w:outlineLvl w:val="0"/>
        <w:rPr>
          <w:rFonts w:ascii="宋体" w:hAnsi="宋体" w:eastAsia="宋体" w:cs="仿宋"/>
          <w:sz w:val="28"/>
          <w:szCs w:val="28"/>
        </w:rPr>
      </w:pPr>
      <w:bookmarkStart w:id="7" w:name="_Toc87566311"/>
      <w:bookmarkStart w:id="8" w:name="_Toc23851"/>
      <w:bookmarkStart w:id="9" w:name="_Toc22750"/>
      <w:r>
        <w:rPr>
          <w:rFonts w:hint="eastAsia" w:ascii="宋体" w:hAnsi="宋体" w:eastAsia="宋体" w:cs="仿宋"/>
          <w:sz w:val="28"/>
          <w:szCs w:val="28"/>
        </w:rPr>
        <w:t>招标单位：</w:t>
      </w:r>
      <w:bookmarkEnd w:id="7"/>
      <w:r>
        <w:rPr>
          <w:rFonts w:hint="eastAsia" w:ascii="宋体" w:hAnsi="宋体" w:eastAsia="宋体" w:cs="仿宋"/>
          <w:sz w:val="28"/>
          <w:szCs w:val="28"/>
          <w:lang w:val="en-US" w:eastAsia="zh-CN"/>
        </w:rPr>
        <w:t>抚州市东乡区城投资产经营管理有限公司</w:t>
      </w:r>
      <w:r>
        <w:rPr>
          <w:rFonts w:hint="eastAsia" w:ascii="宋体" w:hAnsi="宋体" w:eastAsia="宋体" w:cs="仿宋"/>
          <w:sz w:val="28"/>
          <w:szCs w:val="28"/>
        </w:rPr>
        <w:t xml:space="preserve"> </w:t>
      </w:r>
      <w:bookmarkEnd w:id="8"/>
      <w:bookmarkEnd w:id="9"/>
    </w:p>
    <w:p w14:paraId="4051BC69">
      <w:pPr>
        <w:spacing w:line="360" w:lineRule="exact"/>
        <w:ind w:firstLine="560" w:firstLineChars="200"/>
        <w:outlineLvl w:val="0"/>
        <w:rPr>
          <w:rFonts w:hint="eastAsia" w:ascii="宋体" w:hAnsi="宋体" w:eastAsia="宋体" w:cs="仿宋"/>
          <w:sz w:val="28"/>
          <w:szCs w:val="28"/>
        </w:rPr>
      </w:pPr>
      <w:bookmarkStart w:id="10" w:name="_Toc2998"/>
      <w:bookmarkStart w:id="11" w:name="_Toc87566312"/>
      <w:bookmarkStart w:id="12" w:name="_Toc22284"/>
      <w:r>
        <w:rPr>
          <w:rFonts w:hint="eastAsia" w:ascii="宋体" w:hAnsi="宋体" w:eastAsia="宋体" w:cs="仿宋"/>
          <w:sz w:val="28"/>
          <w:szCs w:val="28"/>
        </w:rPr>
        <w:t>联 系 人：</w:t>
      </w:r>
      <w:r>
        <w:rPr>
          <w:rFonts w:hint="eastAsia" w:ascii="宋体" w:hAnsi="宋体" w:eastAsia="宋体" w:cs="仿宋"/>
          <w:sz w:val="28"/>
          <w:szCs w:val="28"/>
          <w:lang w:val="en-US" w:eastAsia="zh-CN"/>
        </w:rPr>
        <w:t>张青清</w:t>
      </w:r>
      <w:r>
        <w:rPr>
          <w:rFonts w:hint="eastAsia" w:ascii="宋体" w:hAnsi="宋体" w:eastAsia="宋体" w:cs="仿宋"/>
          <w:sz w:val="28"/>
          <w:szCs w:val="28"/>
        </w:rPr>
        <w:t xml:space="preserve">    </w:t>
      </w:r>
    </w:p>
    <w:p w14:paraId="1BFA4478">
      <w:pPr>
        <w:spacing w:line="360" w:lineRule="exact"/>
        <w:ind w:firstLine="560" w:firstLineChars="200"/>
        <w:outlineLvl w:val="0"/>
        <w:rPr>
          <w:rFonts w:hint="eastAsia" w:ascii="宋体" w:hAnsi="宋体" w:eastAsia="宋体" w:cs="仿宋"/>
          <w:sz w:val="28"/>
          <w:szCs w:val="28"/>
        </w:rPr>
      </w:pPr>
      <w:r>
        <w:rPr>
          <w:rFonts w:hint="eastAsia" w:ascii="宋体" w:hAnsi="宋体" w:eastAsia="宋体" w:cs="仿宋"/>
          <w:sz w:val="28"/>
          <w:szCs w:val="28"/>
        </w:rPr>
        <w:t>电话：</w:t>
      </w:r>
      <w:bookmarkEnd w:id="10"/>
      <w:bookmarkEnd w:id="11"/>
      <w:bookmarkEnd w:id="12"/>
      <w:bookmarkStart w:id="13" w:name="_Toc13933"/>
      <w:bookmarkStart w:id="14" w:name="_Toc87566313"/>
      <w:bookmarkStart w:id="15" w:name="_Toc382"/>
      <w:r>
        <w:rPr>
          <w:rFonts w:hint="eastAsia" w:ascii="宋体" w:hAnsi="宋体" w:eastAsia="宋体" w:cs="仿宋"/>
          <w:sz w:val="28"/>
          <w:szCs w:val="28"/>
        </w:rPr>
        <w:t xml:space="preserve"> </w:t>
      </w:r>
      <w:r>
        <w:rPr>
          <w:rFonts w:hint="eastAsia" w:ascii="宋体" w:hAnsi="宋体" w:eastAsia="宋体" w:cs="仿宋"/>
          <w:sz w:val="28"/>
          <w:szCs w:val="28"/>
          <w:lang w:val="en-US" w:eastAsia="zh-CN"/>
        </w:rPr>
        <w:t>19916005388</w:t>
      </w:r>
      <w:r>
        <w:rPr>
          <w:rFonts w:hint="eastAsia" w:ascii="宋体" w:hAnsi="宋体" w:eastAsia="宋体" w:cs="仿宋"/>
          <w:sz w:val="28"/>
          <w:szCs w:val="28"/>
        </w:rPr>
        <w:t xml:space="preserve">  </w:t>
      </w:r>
    </w:p>
    <w:bookmarkEnd w:id="13"/>
    <w:bookmarkEnd w:id="14"/>
    <w:bookmarkEnd w:id="15"/>
    <w:p w14:paraId="40156E40">
      <w:pPr>
        <w:rPr>
          <w:b/>
        </w:rPr>
      </w:pPr>
    </w:p>
    <w:tbl>
      <w:tblPr>
        <w:tblStyle w:val="9"/>
        <w:tblpPr w:leftFromText="180" w:rightFromText="180" w:vertAnchor="text" w:horzAnchor="page" w:tblpX="1859" w:tblpY="4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2778"/>
        <w:gridCol w:w="1300"/>
        <w:gridCol w:w="2730"/>
      </w:tblGrid>
      <w:tr w14:paraId="6C4F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96" w:type="dxa"/>
            <w:gridSpan w:val="4"/>
          </w:tcPr>
          <w:p w14:paraId="225DF37E">
            <w:pPr>
              <w:pStyle w:val="7"/>
              <w:jc w:val="center"/>
              <w:rPr>
                <w:rFonts w:hint="eastAsia" w:ascii="宋体" w:hAnsi="宋体" w:eastAsia="宋体" w:cs="Times New Roman"/>
                <w:b/>
                <w:sz w:val="32"/>
                <w:szCs w:val="32"/>
                <w:lang w:val="en-US" w:eastAsia="zh-CN"/>
              </w:rPr>
            </w:pPr>
            <w:r>
              <w:rPr>
                <w:rFonts w:hint="eastAsia" w:ascii="宋体" w:hAnsi="宋体" w:eastAsia="宋体" w:cs="Times New Roman"/>
                <w:b/>
                <w:sz w:val="32"/>
                <w:szCs w:val="32"/>
                <w:lang w:val="en-US" w:eastAsia="zh-CN"/>
              </w:rPr>
              <w:t>红星电商大楼一楼二楼</w:t>
            </w:r>
            <w:r>
              <w:rPr>
                <w:rFonts w:hint="eastAsia" w:ascii="宋体" w:hAnsi="宋体" w:cs="Times New Roman"/>
                <w:b/>
                <w:sz w:val="32"/>
                <w:szCs w:val="32"/>
                <w:lang w:val="en-US" w:eastAsia="zh-CN"/>
              </w:rPr>
              <w:t>招租</w:t>
            </w:r>
            <w:r>
              <w:rPr>
                <w:rFonts w:hint="eastAsia" w:ascii="宋体" w:hAnsi="宋体" w:cs="宋体"/>
                <w:b/>
                <w:bCs/>
                <w:i w:val="0"/>
                <w:iCs w:val="0"/>
                <w:color w:val="000000"/>
                <w:kern w:val="0"/>
                <w:sz w:val="32"/>
                <w:szCs w:val="32"/>
                <w:u w:val="none"/>
                <w:lang w:val="en-US" w:eastAsia="zh-CN" w:bidi="ar"/>
              </w:rPr>
              <w:t>报价单</w:t>
            </w:r>
          </w:p>
        </w:tc>
      </w:tr>
      <w:tr w14:paraId="525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488" w:type="dxa"/>
          </w:tcPr>
          <w:p w14:paraId="603A481E">
            <w:pPr>
              <w:pStyle w:val="7"/>
              <w:jc w:val="center"/>
              <w:rPr>
                <w:rFonts w:hint="eastAsia"/>
                <w:b/>
                <w:bCs/>
                <w:vertAlign w:val="baseline"/>
                <w:lang w:val="en-US" w:eastAsia="zh-CN"/>
              </w:rPr>
            </w:pPr>
          </w:p>
          <w:p w14:paraId="64DB4F93">
            <w:pPr>
              <w:pStyle w:val="7"/>
              <w:jc w:val="center"/>
              <w:rPr>
                <w:rFonts w:hint="eastAsia" w:eastAsia="宋体"/>
                <w:b/>
                <w:bCs/>
                <w:vertAlign w:val="baseline"/>
                <w:lang w:val="en-US" w:eastAsia="zh-CN"/>
              </w:rPr>
            </w:pPr>
            <w:r>
              <w:rPr>
                <w:rFonts w:hint="eastAsia"/>
                <w:b/>
                <w:bCs/>
                <w:vertAlign w:val="baseline"/>
                <w:lang w:val="en-US" w:eastAsia="zh-CN"/>
              </w:rPr>
              <w:t>标段名称</w:t>
            </w:r>
          </w:p>
        </w:tc>
        <w:tc>
          <w:tcPr>
            <w:tcW w:w="2778" w:type="dxa"/>
            <w:vAlign w:val="top"/>
          </w:tcPr>
          <w:p w14:paraId="2974BB25">
            <w:pPr>
              <w:pStyle w:val="7"/>
              <w:jc w:val="center"/>
              <w:rPr>
                <w:rFonts w:hint="eastAsia" w:ascii="宋体" w:hAnsi="宋体" w:eastAsia="宋体" w:cs="宋体"/>
                <w:b/>
                <w:bCs/>
                <w:i w:val="0"/>
                <w:iCs w:val="0"/>
                <w:color w:val="000000"/>
                <w:kern w:val="0"/>
                <w:sz w:val="21"/>
                <w:szCs w:val="21"/>
                <w:u w:val="none"/>
                <w:lang w:val="en-US" w:eastAsia="zh-CN" w:bidi="ar"/>
              </w:rPr>
            </w:pPr>
          </w:p>
          <w:p w14:paraId="598DC299">
            <w:pPr>
              <w:pStyle w:val="7"/>
              <w:ind w:firstLine="211" w:firstLineChars="100"/>
              <w:jc w:val="center"/>
              <w:rPr>
                <w:rFonts w:hint="eastAsia" w:eastAsia="宋体"/>
                <w:b/>
                <w:bCs/>
                <w:vertAlign w:val="baseline"/>
                <w:lang w:val="en-US" w:eastAsia="zh-CN"/>
              </w:rPr>
            </w:pPr>
            <w:r>
              <w:rPr>
                <w:rFonts w:hint="eastAsia" w:ascii="宋体" w:hAnsi="宋体" w:eastAsia="宋体" w:cs="宋体"/>
                <w:b/>
                <w:bCs/>
                <w:i w:val="0"/>
                <w:iCs w:val="0"/>
                <w:color w:val="000000"/>
                <w:kern w:val="0"/>
                <w:sz w:val="21"/>
                <w:szCs w:val="21"/>
                <w:u w:val="none"/>
                <w:lang w:val="en-US" w:eastAsia="zh-CN" w:bidi="ar"/>
              </w:rPr>
              <w:t>店面名称及面积</w:t>
            </w:r>
          </w:p>
        </w:tc>
        <w:tc>
          <w:tcPr>
            <w:tcW w:w="1300" w:type="dxa"/>
          </w:tcPr>
          <w:p w14:paraId="7A6C3316">
            <w:pPr>
              <w:pStyle w:val="7"/>
              <w:jc w:val="center"/>
              <w:rPr>
                <w:rFonts w:hint="eastAsia" w:ascii="宋体" w:hAnsi="宋体" w:eastAsia="宋体" w:cs="宋体"/>
                <w:b/>
                <w:bCs/>
                <w:i w:val="0"/>
                <w:iCs w:val="0"/>
                <w:color w:val="000000"/>
                <w:kern w:val="0"/>
                <w:sz w:val="21"/>
                <w:szCs w:val="21"/>
                <w:u w:val="none"/>
                <w:lang w:val="en-US" w:eastAsia="zh-CN" w:bidi="ar"/>
              </w:rPr>
            </w:pPr>
          </w:p>
          <w:p w14:paraId="7D35DA9E">
            <w:pPr>
              <w:pStyle w:val="7"/>
              <w:jc w:val="center"/>
              <w:rPr>
                <w:b/>
                <w:bCs/>
                <w:vertAlign w:val="baseline"/>
              </w:rPr>
            </w:pPr>
            <w:r>
              <w:rPr>
                <w:rFonts w:hint="eastAsia" w:ascii="宋体" w:hAnsi="宋体" w:cs="宋体"/>
                <w:b/>
                <w:bCs/>
                <w:i w:val="0"/>
                <w:iCs w:val="0"/>
                <w:color w:val="000000"/>
                <w:kern w:val="0"/>
                <w:sz w:val="21"/>
                <w:szCs w:val="21"/>
                <w:u w:val="none"/>
                <w:lang w:val="en-US" w:eastAsia="zh-CN" w:bidi="ar"/>
              </w:rPr>
              <w:t>单价</w:t>
            </w:r>
          </w:p>
        </w:tc>
        <w:tc>
          <w:tcPr>
            <w:tcW w:w="2730" w:type="dxa"/>
          </w:tcPr>
          <w:p w14:paraId="10D29090">
            <w:pPr>
              <w:pStyle w:val="7"/>
              <w:ind w:left="0" w:leftChars="0" w:firstLine="0" w:firstLineChars="0"/>
              <w:jc w:val="both"/>
              <w:rPr>
                <w:rFonts w:hint="eastAsia" w:ascii="宋体" w:hAnsi="宋体" w:cs="宋体"/>
                <w:b/>
                <w:bCs/>
                <w:i w:val="0"/>
                <w:iCs w:val="0"/>
                <w:color w:val="000000"/>
                <w:kern w:val="0"/>
                <w:sz w:val="24"/>
                <w:szCs w:val="24"/>
                <w:u w:val="none"/>
                <w:lang w:val="en-US" w:eastAsia="zh-CN" w:bidi="ar"/>
              </w:rPr>
            </w:pPr>
          </w:p>
          <w:p w14:paraId="656D9CED">
            <w:pPr>
              <w:pStyle w:val="7"/>
              <w:ind w:left="0" w:leftChars="0" w:firstLine="0" w:firstLineChars="0"/>
              <w:jc w:val="center"/>
              <w:rPr>
                <w:rFonts w:hint="eastAsia"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4"/>
                <w:szCs w:val="24"/>
                <w:u w:val="none"/>
                <w:lang w:val="en-US" w:eastAsia="zh-CN" w:bidi="ar"/>
              </w:rPr>
              <w:t>签名按手印</w:t>
            </w:r>
          </w:p>
        </w:tc>
      </w:tr>
      <w:tr w14:paraId="312D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8" w:type="dxa"/>
          </w:tcPr>
          <w:p w14:paraId="6E23B102">
            <w:pPr>
              <w:pStyle w:val="7"/>
              <w:ind w:left="0" w:leftChars="0" w:firstLine="0" w:firstLineChars="0"/>
              <w:jc w:val="both"/>
              <w:rPr>
                <w:rFonts w:hint="eastAsia"/>
                <w:sz w:val="24"/>
                <w:szCs w:val="24"/>
                <w:vertAlign w:val="baseline"/>
                <w:lang w:val="en-US" w:eastAsia="zh-CN"/>
              </w:rPr>
            </w:pPr>
          </w:p>
          <w:p w14:paraId="7C38AFE6">
            <w:pPr>
              <w:pStyle w:val="7"/>
              <w:ind w:left="0" w:leftChars="0" w:firstLine="0" w:firstLineChars="0"/>
              <w:jc w:val="both"/>
              <w:rPr>
                <w:rFonts w:hint="default" w:eastAsia="宋体"/>
                <w:sz w:val="24"/>
                <w:szCs w:val="24"/>
                <w:vertAlign w:val="baseline"/>
                <w:lang w:val="en-US" w:eastAsia="zh-CN"/>
              </w:rPr>
            </w:pPr>
            <w:r>
              <w:rPr>
                <w:rFonts w:hint="eastAsia"/>
                <w:sz w:val="24"/>
                <w:szCs w:val="24"/>
                <w:vertAlign w:val="baseline"/>
                <w:lang w:val="en-US" w:eastAsia="zh-CN"/>
              </w:rPr>
              <w:t>一标段</w:t>
            </w:r>
          </w:p>
        </w:tc>
        <w:tc>
          <w:tcPr>
            <w:tcW w:w="2778" w:type="dxa"/>
            <w:vAlign w:val="top"/>
          </w:tcPr>
          <w:p w14:paraId="47A243E1">
            <w:pPr>
              <w:widowControl w:val="0"/>
              <w:jc w:val="both"/>
              <w:rPr>
                <w:rFonts w:hint="eastAsia" w:ascii="宋体" w:hAnsi="宋体" w:eastAsia="宋体" w:cs="宋体"/>
                <w:b w:val="0"/>
                <w:i w:val="0"/>
                <w:iCs w:val="0"/>
                <w:color w:val="000000"/>
                <w:kern w:val="0"/>
                <w:sz w:val="24"/>
                <w:szCs w:val="24"/>
                <w:u w:val="none"/>
                <w:lang w:val="en-US" w:eastAsia="zh-CN" w:bidi="ar"/>
              </w:rPr>
            </w:pPr>
          </w:p>
          <w:p w14:paraId="30769E57">
            <w:pPr>
              <w:widowControl w:val="0"/>
              <w:jc w:val="both"/>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店面104（84.37㎡）</w:t>
            </w:r>
          </w:p>
          <w:p w14:paraId="7625EB7A">
            <w:pPr>
              <w:pStyle w:val="7"/>
              <w:ind w:left="0" w:leftChars="0" w:firstLine="0" w:firstLineChars="0"/>
              <w:jc w:val="center"/>
              <w:rPr>
                <w:sz w:val="24"/>
                <w:szCs w:val="24"/>
                <w:vertAlign w:val="baseline"/>
              </w:rPr>
            </w:pPr>
          </w:p>
        </w:tc>
        <w:tc>
          <w:tcPr>
            <w:tcW w:w="1300" w:type="dxa"/>
          </w:tcPr>
          <w:p w14:paraId="171C9C92">
            <w:pPr>
              <w:widowControl w:val="0"/>
              <w:spacing w:line="360" w:lineRule="exact"/>
              <w:jc w:val="center"/>
              <w:rPr>
                <w:rFonts w:hint="eastAsia" w:ascii="宋体" w:hAnsi="宋体" w:eastAsia="宋体" w:cs="宋体"/>
                <w:b w:val="0"/>
                <w:i w:val="0"/>
                <w:iCs w:val="0"/>
                <w:color w:val="000000"/>
                <w:kern w:val="0"/>
                <w:sz w:val="21"/>
                <w:szCs w:val="21"/>
                <w:u w:val="none"/>
                <w:lang w:val="en-US" w:eastAsia="zh-CN" w:bidi="ar"/>
              </w:rPr>
            </w:pPr>
          </w:p>
          <w:p w14:paraId="689B4E21">
            <w:pPr>
              <w:pStyle w:val="7"/>
              <w:ind w:left="0" w:leftChars="0" w:firstLine="0" w:firstLineChars="0"/>
              <w:jc w:val="center"/>
              <w:rPr>
                <w:vertAlign w:val="baseline"/>
              </w:rPr>
            </w:pPr>
          </w:p>
        </w:tc>
        <w:tc>
          <w:tcPr>
            <w:tcW w:w="2730" w:type="dxa"/>
          </w:tcPr>
          <w:p w14:paraId="5385944D">
            <w:pPr>
              <w:pStyle w:val="7"/>
              <w:ind w:left="0" w:leftChars="0" w:firstLine="0" w:firstLineChars="0"/>
              <w:jc w:val="center"/>
              <w:rPr>
                <w:vertAlign w:val="baseline"/>
              </w:rPr>
            </w:pPr>
          </w:p>
        </w:tc>
      </w:tr>
      <w:tr w14:paraId="399A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488" w:type="dxa"/>
          </w:tcPr>
          <w:p w14:paraId="00415A6A">
            <w:pPr>
              <w:pStyle w:val="7"/>
              <w:ind w:left="0" w:leftChars="0" w:firstLine="0" w:firstLineChars="0"/>
              <w:jc w:val="both"/>
              <w:rPr>
                <w:rFonts w:hint="eastAsia"/>
                <w:sz w:val="24"/>
                <w:szCs w:val="24"/>
                <w:vertAlign w:val="baseline"/>
                <w:lang w:val="en-US" w:eastAsia="zh-CN"/>
              </w:rPr>
            </w:pPr>
          </w:p>
          <w:p w14:paraId="49514DE1">
            <w:pPr>
              <w:pStyle w:val="7"/>
              <w:ind w:left="0" w:leftChars="0" w:firstLine="0" w:firstLineChars="0"/>
              <w:jc w:val="both"/>
              <w:rPr>
                <w:rFonts w:hint="default"/>
                <w:sz w:val="24"/>
                <w:szCs w:val="24"/>
                <w:vertAlign w:val="baseline"/>
                <w:lang w:val="en-US" w:eastAsia="zh-CN"/>
              </w:rPr>
            </w:pPr>
            <w:r>
              <w:rPr>
                <w:rFonts w:hint="eastAsia"/>
                <w:sz w:val="24"/>
                <w:szCs w:val="24"/>
                <w:vertAlign w:val="baseline"/>
                <w:lang w:val="en-US" w:eastAsia="zh-CN"/>
              </w:rPr>
              <w:t>二标段</w:t>
            </w:r>
          </w:p>
        </w:tc>
        <w:tc>
          <w:tcPr>
            <w:tcW w:w="2778" w:type="dxa"/>
            <w:vAlign w:val="top"/>
          </w:tcPr>
          <w:p w14:paraId="13070259">
            <w:pPr>
              <w:widowControl w:val="0"/>
              <w:jc w:val="both"/>
              <w:rPr>
                <w:rFonts w:hint="eastAsia" w:ascii="宋体" w:hAnsi="宋体" w:eastAsia="宋体" w:cs="宋体"/>
                <w:b w:val="0"/>
                <w:i w:val="0"/>
                <w:iCs w:val="0"/>
                <w:color w:val="000000"/>
                <w:kern w:val="0"/>
                <w:sz w:val="24"/>
                <w:szCs w:val="24"/>
                <w:u w:val="none"/>
                <w:lang w:val="en-US" w:eastAsia="zh-CN" w:bidi="ar"/>
              </w:rPr>
            </w:pPr>
          </w:p>
          <w:p w14:paraId="1A4B4B30">
            <w:pPr>
              <w:widowControl w:val="0"/>
              <w:jc w:val="both"/>
              <w:rPr>
                <w:rFonts w:hint="eastAsia" w:ascii="宋体" w:hAnsi="宋体" w:eastAsia="宋体" w:cs="宋体"/>
                <w:b w:val="0"/>
                <w:i w:val="0"/>
                <w:iCs w:val="0"/>
                <w:color w:val="000000"/>
                <w:kern w:val="0"/>
                <w:sz w:val="24"/>
                <w:szCs w:val="24"/>
                <w:u w:val="none"/>
                <w:lang w:val="en-US" w:eastAsia="zh-CN" w:bidi="ar"/>
              </w:rPr>
            </w:pPr>
            <w:r>
              <w:rPr>
                <w:rFonts w:hint="eastAsia" w:ascii="宋体" w:hAnsi="宋体" w:eastAsia="宋体" w:cs="宋体"/>
                <w:b w:val="0"/>
                <w:i w:val="0"/>
                <w:iCs w:val="0"/>
                <w:color w:val="000000"/>
                <w:kern w:val="0"/>
                <w:sz w:val="24"/>
                <w:szCs w:val="24"/>
                <w:u w:val="none"/>
                <w:lang w:val="en-US" w:eastAsia="zh-CN" w:bidi="ar"/>
              </w:rPr>
              <w:t>店面105（82.6㎡）</w:t>
            </w:r>
          </w:p>
          <w:p w14:paraId="62FF91F6">
            <w:pPr>
              <w:pStyle w:val="7"/>
              <w:ind w:left="0" w:leftChars="0" w:firstLine="0" w:firstLineChars="0"/>
              <w:jc w:val="center"/>
              <w:rPr>
                <w:sz w:val="24"/>
                <w:szCs w:val="24"/>
                <w:vertAlign w:val="baseline"/>
              </w:rPr>
            </w:pPr>
          </w:p>
        </w:tc>
        <w:tc>
          <w:tcPr>
            <w:tcW w:w="1300" w:type="dxa"/>
          </w:tcPr>
          <w:p w14:paraId="07D8F492">
            <w:pPr>
              <w:widowControl w:val="0"/>
              <w:jc w:val="center"/>
              <w:rPr>
                <w:rFonts w:hint="eastAsia" w:ascii="宋体" w:hAnsi="宋体" w:eastAsia="宋体" w:cs="宋体"/>
                <w:b w:val="0"/>
                <w:i w:val="0"/>
                <w:iCs w:val="0"/>
                <w:color w:val="000000"/>
                <w:kern w:val="0"/>
                <w:sz w:val="21"/>
                <w:szCs w:val="21"/>
                <w:u w:val="none"/>
                <w:lang w:val="en-US" w:eastAsia="zh-CN" w:bidi="ar"/>
              </w:rPr>
            </w:pPr>
          </w:p>
          <w:p w14:paraId="445E41E0">
            <w:pPr>
              <w:pStyle w:val="7"/>
              <w:ind w:left="0" w:leftChars="0" w:firstLine="0" w:firstLineChars="0"/>
              <w:jc w:val="center"/>
              <w:rPr>
                <w:vertAlign w:val="baseline"/>
              </w:rPr>
            </w:pPr>
          </w:p>
        </w:tc>
        <w:tc>
          <w:tcPr>
            <w:tcW w:w="2730" w:type="dxa"/>
          </w:tcPr>
          <w:p w14:paraId="74C4BDAF">
            <w:pPr>
              <w:pStyle w:val="7"/>
              <w:ind w:left="0" w:leftChars="0" w:firstLine="0" w:firstLineChars="0"/>
              <w:jc w:val="center"/>
              <w:rPr>
                <w:vertAlign w:val="baseline"/>
              </w:rPr>
            </w:pPr>
          </w:p>
        </w:tc>
      </w:tr>
      <w:tr w14:paraId="6311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488" w:type="dxa"/>
          </w:tcPr>
          <w:p w14:paraId="5F64474C">
            <w:pPr>
              <w:pStyle w:val="7"/>
              <w:ind w:left="0" w:leftChars="0" w:firstLine="0" w:firstLineChars="0"/>
              <w:jc w:val="both"/>
              <w:rPr>
                <w:rFonts w:hint="eastAsia"/>
                <w:sz w:val="24"/>
                <w:szCs w:val="24"/>
                <w:vertAlign w:val="baseline"/>
                <w:lang w:val="en-US" w:eastAsia="zh-CN"/>
              </w:rPr>
            </w:pPr>
          </w:p>
          <w:p w14:paraId="5105DAEF">
            <w:pPr>
              <w:pStyle w:val="7"/>
              <w:ind w:left="0" w:leftChars="0" w:firstLine="0" w:firstLineChars="0"/>
              <w:jc w:val="both"/>
              <w:rPr>
                <w:rFonts w:hint="eastAsia"/>
                <w:sz w:val="24"/>
                <w:szCs w:val="24"/>
                <w:vertAlign w:val="baseline"/>
                <w:lang w:val="en-US" w:eastAsia="zh-CN"/>
              </w:rPr>
            </w:pPr>
            <w:r>
              <w:rPr>
                <w:rFonts w:hint="eastAsia"/>
                <w:sz w:val="24"/>
                <w:szCs w:val="24"/>
                <w:vertAlign w:val="baseline"/>
                <w:lang w:val="en-US" w:eastAsia="zh-CN"/>
              </w:rPr>
              <w:t>三标段</w:t>
            </w:r>
          </w:p>
        </w:tc>
        <w:tc>
          <w:tcPr>
            <w:tcW w:w="2778" w:type="dxa"/>
            <w:vAlign w:val="top"/>
          </w:tcPr>
          <w:p w14:paraId="76851D45">
            <w:pPr>
              <w:pStyle w:val="7"/>
              <w:ind w:left="0" w:leftChars="0" w:firstLine="0" w:firstLineChars="0"/>
              <w:jc w:val="both"/>
              <w:rPr>
                <w:rFonts w:hint="eastAsia" w:ascii="宋体" w:hAnsi="宋体" w:eastAsia="宋体" w:cs="宋体"/>
                <w:b w:val="0"/>
                <w:i w:val="0"/>
                <w:iCs w:val="0"/>
                <w:color w:val="000000"/>
                <w:kern w:val="0"/>
                <w:sz w:val="24"/>
                <w:szCs w:val="24"/>
                <w:u w:val="none"/>
                <w:lang w:val="en-US" w:eastAsia="zh-CN" w:bidi="ar"/>
              </w:rPr>
            </w:pPr>
          </w:p>
          <w:p w14:paraId="3FE0C675">
            <w:pPr>
              <w:pStyle w:val="7"/>
              <w:ind w:left="0" w:leftChars="0" w:firstLine="0" w:firstLineChars="0"/>
              <w:jc w:val="both"/>
              <w:rPr>
                <w:sz w:val="24"/>
                <w:szCs w:val="24"/>
                <w:vertAlign w:val="baseline"/>
              </w:rPr>
            </w:pPr>
            <w:r>
              <w:rPr>
                <w:rFonts w:hint="eastAsia" w:ascii="宋体" w:hAnsi="宋体" w:eastAsia="宋体" w:cs="宋体"/>
                <w:b w:val="0"/>
                <w:i w:val="0"/>
                <w:iCs w:val="0"/>
                <w:color w:val="000000"/>
                <w:kern w:val="0"/>
                <w:sz w:val="24"/>
                <w:szCs w:val="24"/>
                <w:u w:val="none"/>
                <w:lang w:val="en-US" w:eastAsia="zh-CN" w:bidi="ar"/>
              </w:rPr>
              <w:t>店面106（58.37㎡）</w:t>
            </w:r>
          </w:p>
        </w:tc>
        <w:tc>
          <w:tcPr>
            <w:tcW w:w="1300" w:type="dxa"/>
          </w:tcPr>
          <w:p w14:paraId="36C4395A">
            <w:pPr>
              <w:pStyle w:val="7"/>
              <w:jc w:val="center"/>
              <w:rPr>
                <w:rFonts w:hint="eastAsia" w:ascii="宋体" w:hAnsi="宋体" w:eastAsia="宋体" w:cs="宋体"/>
                <w:b w:val="0"/>
                <w:i w:val="0"/>
                <w:iCs w:val="0"/>
                <w:color w:val="000000"/>
                <w:kern w:val="0"/>
                <w:sz w:val="21"/>
                <w:szCs w:val="21"/>
                <w:u w:val="none"/>
                <w:lang w:val="en-US" w:eastAsia="zh-CN" w:bidi="ar"/>
              </w:rPr>
            </w:pPr>
          </w:p>
          <w:p w14:paraId="1BEDEDB4">
            <w:pPr>
              <w:pStyle w:val="7"/>
              <w:ind w:left="0" w:leftChars="0" w:firstLine="0" w:firstLineChars="0"/>
              <w:jc w:val="center"/>
              <w:rPr>
                <w:rFonts w:hint="eastAsia" w:ascii="宋体" w:hAnsi="宋体" w:eastAsia="宋体" w:cs="宋体"/>
                <w:b w:val="0"/>
                <w:i w:val="0"/>
                <w:iCs w:val="0"/>
                <w:color w:val="000000"/>
                <w:kern w:val="0"/>
                <w:sz w:val="21"/>
                <w:szCs w:val="21"/>
                <w:u w:val="none"/>
                <w:lang w:val="en-US" w:eastAsia="zh-CN" w:bidi="ar"/>
              </w:rPr>
            </w:pPr>
          </w:p>
        </w:tc>
        <w:tc>
          <w:tcPr>
            <w:tcW w:w="2730" w:type="dxa"/>
          </w:tcPr>
          <w:p w14:paraId="26089913">
            <w:pPr>
              <w:pStyle w:val="7"/>
              <w:ind w:left="0" w:leftChars="0" w:firstLine="0" w:firstLineChars="0"/>
              <w:jc w:val="center"/>
              <w:rPr>
                <w:rFonts w:hint="eastAsia" w:ascii="宋体" w:hAnsi="宋体" w:eastAsia="宋体" w:cs="宋体"/>
                <w:b w:val="0"/>
                <w:i w:val="0"/>
                <w:iCs w:val="0"/>
                <w:color w:val="000000"/>
                <w:kern w:val="0"/>
                <w:sz w:val="21"/>
                <w:szCs w:val="21"/>
                <w:u w:val="none"/>
                <w:lang w:val="en-US" w:eastAsia="zh-CN" w:bidi="ar"/>
              </w:rPr>
            </w:pPr>
          </w:p>
        </w:tc>
      </w:tr>
    </w:tbl>
    <w:p w14:paraId="12CAB27B">
      <w:pPr>
        <w:pStyle w:val="7"/>
        <w:rPr>
          <w:b/>
        </w:rPr>
      </w:pPr>
    </w:p>
    <w:p w14:paraId="6ED152AA">
      <w:pPr>
        <w:rPr>
          <w:b/>
        </w:rPr>
      </w:pPr>
    </w:p>
    <w:p w14:paraId="6CA0CC13">
      <w:pPr>
        <w:pStyle w:val="7"/>
        <w:rPr>
          <w:b/>
        </w:rPr>
      </w:pPr>
    </w:p>
    <w:p w14:paraId="22443877">
      <w:pPr>
        <w:rPr>
          <w:b/>
        </w:rPr>
      </w:pPr>
    </w:p>
    <w:p w14:paraId="68DEECE0">
      <w:pPr>
        <w:pStyle w:val="7"/>
        <w:rPr>
          <w:b/>
        </w:rPr>
      </w:pPr>
    </w:p>
    <w:p w14:paraId="517FFB34">
      <w:pPr>
        <w:rPr>
          <w:b/>
        </w:rPr>
      </w:pPr>
    </w:p>
    <w:p w14:paraId="5F5FABDE">
      <w:pPr>
        <w:pStyle w:val="7"/>
        <w:rPr>
          <w:b/>
        </w:rPr>
      </w:pPr>
    </w:p>
    <w:p w14:paraId="326A8F4A">
      <w:pPr>
        <w:rPr>
          <w:b/>
        </w:rPr>
      </w:pPr>
    </w:p>
    <w:p w14:paraId="31D4AD8A">
      <w:pPr>
        <w:pStyle w:val="7"/>
        <w:rPr>
          <w:b/>
        </w:rPr>
      </w:pPr>
    </w:p>
    <w:p w14:paraId="301CFC24">
      <w:pPr>
        <w:rPr>
          <w:b/>
        </w:rPr>
      </w:pPr>
    </w:p>
    <w:p w14:paraId="2CE243BC">
      <w:pPr>
        <w:pStyle w:val="7"/>
        <w:rPr>
          <w:b/>
        </w:rPr>
      </w:pPr>
    </w:p>
    <w:p w14:paraId="643F11C6">
      <w:pPr>
        <w:rPr>
          <w:b/>
        </w:rPr>
      </w:pPr>
    </w:p>
    <w:p w14:paraId="7A5C54DD">
      <w:pPr>
        <w:pStyle w:val="7"/>
        <w:rPr>
          <w:b/>
        </w:rPr>
      </w:pPr>
    </w:p>
    <w:p w14:paraId="786A9758"/>
    <w:p w14:paraId="6C8DBB93">
      <w:pPr>
        <w:rPr>
          <w:b/>
        </w:rPr>
      </w:pPr>
    </w:p>
    <w:p w14:paraId="743331BB">
      <w:pPr>
        <w:pStyle w:val="7"/>
      </w:pPr>
    </w:p>
    <w:p w14:paraId="006EF09A"/>
    <w:p w14:paraId="7D482D38"/>
    <w:p w14:paraId="6CC8B513">
      <w:pPr>
        <w:tabs>
          <w:tab w:val="left" w:pos="0"/>
        </w:tabs>
        <w:spacing w:line="440" w:lineRule="exact"/>
        <w:jc w:val="center"/>
        <w:outlineLvl w:val="0"/>
        <w:rPr>
          <w:rFonts w:ascii="宋体" w:hAnsi="宋体" w:cs="宋体"/>
          <w:b/>
          <w:bCs/>
          <w:sz w:val="32"/>
          <w:szCs w:val="32"/>
        </w:rPr>
      </w:pPr>
      <w:bookmarkStart w:id="16" w:name="_Toc14085"/>
      <w:r>
        <w:rPr>
          <w:rFonts w:hint="eastAsia" w:ascii="宋体" w:hAnsi="宋体" w:cs="宋体"/>
          <w:b/>
          <w:bCs/>
          <w:sz w:val="44"/>
          <w:szCs w:val="44"/>
        </w:rPr>
        <w:t>合同格式</w:t>
      </w:r>
      <w:bookmarkEnd w:id="16"/>
    </w:p>
    <w:p w14:paraId="697A19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center"/>
        <w:rPr>
          <w:b/>
        </w:rPr>
      </w:pPr>
      <w:r>
        <w:rPr>
          <w:rFonts w:hint="eastAsia"/>
          <w:color w:val="000000"/>
          <w:sz w:val="44"/>
          <w:szCs w:val="44"/>
          <w:lang w:val="en-US" w:eastAsia="zh-CN"/>
        </w:rPr>
        <w:t>红星电商大楼租赁合同</w:t>
      </w:r>
    </w:p>
    <w:p w14:paraId="410E2234">
      <w:pPr>
        <w:keepNext w:val="0"/>
        <w:keepLines w:val="0"/>
        <w:pageBreakBefore w:val="0"/>
        <w:widowControl/>
        <w:kinsoku/>
        <w:wordWrap/>
        <w:overflowPunct/>
        <w:topLinePunct w:val="0"/>
        <w:autoSpaceDE/>
        <w:autoSpaceDN/>
        <w:bidi w:val="0"/>
        <w:adjustRightInd w:val="0"/>
        <w:snapToGrid w:val="0"/>
        <w:spacing w:line="240" w:lineRule="auto"/>
        <w:textAlignment w:val="auto"/>
        <w:outlineLvl w:val="0"/>
        <w:rPr>
          <w:rFonts w:hint="eastAsia" w:ascii="宋体" w:hAnsi="宋体" w:eastAsia="宋体" w:cs="宋体"/>
          <w:sz w:val="32"/>
          <w:szCs w:val="32"/>
        </w:rPr>
      </w:pPr>
      <w:r>
        <w:rPr>
          <w:rFonts w:hint="eastAsia" w:ascii="宋体" w:hAnsi="宋体" w:eastAsia="宋体" w:cs="宋体"/>
          <w:sz w:val="32"/>
          <w:szCs w:val="32"/>
        </w:rPr>
        <w:t>出租人（甲方）：</w:t>
      </w:r>
      <w:r>
        <w:rPr>
          <w:rFonts w:hint="eastAsia" w:ascii="宋体" w:hAnsi="宋体" w:eastAsia="宋体" w:cs="仿宋"/>
          <w:sz w:val="30"/>
          <w:szCs w:val="30"/>
          <w:lang w:val="en-US" w:eastAsia="zh-CN"/>
        </w:rPr>
        <w:t>抚州市东乡区城投资产经营管理有限公司</w:t>
      </w:r>
      <w:r>
        <w:rPr>
          <w:rFonts w:hint="eastAsia" w:ascii="宋体" w:hAnsi="宋体" w:eastAsia="宋体" w:cs="仿宋"/>
          <w:sz w:val="28"/>
          <w:szCs w:val="28"/>
        </w:rPr>
        <w:t xml:space="preserve"> </w:t>
      </w:r>
    </w:p>
    <w:p w14:paraId="475B41A7">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32"/>
          <w:szCs w:val="32"/>
        </w:rPr>
      </w:pPr>
      <w:r>
        <w:rPr>
          <w:rFonts w:hint="eastAsia" w:ascii="宋体" w:hAnsi="宋体" w:eastAsia="宋体" w:cs="宋体"/>
          <w:sz w:val="32"/>
          <w:szCs w:val="32"/>
        </w:rPr>
        <w:t>营业执照：</w:t>
      </w:r>
    </w:p>
    <w:p w14:paraId="7596A9DE">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承租人（乙方）:</w:t>
      </w:r>
    </w:p>
    <w:p w14:paraId="71ED29C4">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证件号：</w:t>
      </w:r>
    </w:p>
    <w:p w14:paraId="1E855AD1">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联系电话：</w:t>
      </w:r>
    </w:p>
    <w:p w14:paraId="437418A0">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依据《中华人民共和国合同法》及有关</w:t>
      </w:r>
      <w:r>
        <w:rPr>
          <w:rFonts w:hint="eastAsia" w:ascii="宋体" w:hAnsi="宋体" w:eastAsia="宋体" w:cs="宋体"/>
          <w:sz w:val="32"/>
          <w:szCs w:val="32"/>
          <w:lang w:eastAsia="zh-CN"/>
        </w:rPr>
        <w:t>法律、法规</w:t>
      </w:r>
      <w:r>
        <w:rPr>
          <w:rFonts w:hint="eastAsia" w:ascii="宋体" w:hAnsi="宋体" w:eastAsia="宋体" w:cs="宋体"/>
          <w:sz w:val="32"/>
          <w:szCs w:val="32"/>
        </w:rPr>
        <w:t>的规定，甲、乙双方在平等、自愿的基础上，就房屋租赁的有关事宜达成协议如下：</w:t>
      </w:r>
    </w:p>
    <w:p w14:paraId="1E56A919">
      <w:pPr>
        <w:keepNext w:val="0"/>
        <w:keepLines w:val="0"/>
        <w:pageBreakBefore w:val="0"/>
        <w:widowControl/>
        <w:numPr>
          <w:ilvl w:val="0"/>
          <w:numId w:val="3"/>
        </w:numPr>
        <w:kinsoku/>
        <w:wordWrap/>
        <w:overflowPunct/>
        <w:topLinePunct w:val="0"/>
        <w:autoSpaceDE/>
        <w:autoSpaceDN/>
        <w:bidi w:val="0"/>
        <w:adjustRightInd w:val="0"/>
        <w:snapToGrid w:val="0"/>
        <w:spacing w:line="240" w:lineRule="auto"/>
        <w:textAlignment w:val="auto"/>
        <w:rPr>
          <w:rFonts w:hint="eastAsia" w:ascii="宋体" w:hAnsi="宋体" w:eastAsia="宋体" w:cs="宋体"/>
          <w:b/>
          <w:sz w:val="32"/>
          <w:szCs w:val="32"/>
        </w:rPr>
      </w:pPr>
      <w:r>
        <w:rPr>
          <w:rFonts w:hint="eastAsia" w:ascii="宋体" w:hAnsi="宋体" w:eastAsia="宋体" w:cs="宋体"/>
          <w:b/>
          <w:sz w:val="32"/>
          <w:szCs w:val="32"/>
        </w:rPr>
        <w:t>房屋基本情况</w:t>
      </w:r>
    </w:p>
    <w:p w14:paraId="7F0538F8">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（一）房屋坐落于抚州市东乡区</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红星电商大楼101</w:t>
      </w:r>
      <w:r>
        <w:rPr>
          <w:rFonts w:hint="eastAsia" w:ascii="宋体" w:hAnsi="宋体" w:eastAsia="宋体" w:cs="宋体"/>
          <w:sz w:val="32"/>
          <w:szCs w:val="32"/>
          <w:u w:val="single"/>
        </w:rPr>
        <w:t xml:space="preserve"> </w:t>
      </w:r>
      <w:r>
        <w:rPr>
          <w:rFonts w:hint="eastAsia" w:ascii="宋体" w:hAnsi="宋体" w:eastAsia="宋体" w:cs="宋体"/>
          <w:sz w:val="32"/>
          <w:szCs w:val="32"/>
        </w:rPr>
        <w:t>，建筑面积</w:t>
      </w:r>
      <w:r>
        <w:rPr>
          <w:rFonts w:hint="eastAsia" w:ascii="宋体" w:hAnsi="宋体" w:eastAsia="宋体" w:cs="宋体"/>
          <w:sz w:val="32"/>
          <w:szCs w:val="32"/>
          <w:u w:val="single"/>
        </w:rPr>
        <w:t xml:space="preserve">      </w:t>
      </w:r>
      <w:r>
        <w:rPr>
          <w:rFonts w:hint="eastAsia" w:ascii="宋体" w:hAnsi="宋体" w:eastAsia="宋体" w:cs="宋体"/>
          <w:sz w:val="32"/>
          <w:szCs w:val="32"/>
        </w:rPr>
        <w:t>平方米（以房屋现状为准）。</w:t>
      </w:r>
    </w:p>
    <w:p w14:paraId="7DF3201F">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（二）房屋权属状况：甲方持有（□房屋所有权证/□房屋买卖合同/□其他房屋来源证明文件），房屋所有权证书编号：</w:t>
      </w:r>
      <w:r>
        <w:rPr>
          <w:rFonts w:hint="eastAsia" w:ascii="宋体" w:hAnsi="宋体" w:eastAsia="宋体" w:cs="宋体"/>
          <w:sz w:val="32"/>
          <w:szCs w:val="32"/>
          <w:u w:val="single"/>
        </w:rPr>
        <w:t xml:space="preserve">                </w:t>
      </w:r>
      <w:r>
        <w:rPr>
          <w:rFonts w:hint="eastAsia" w:ascii="宋体" w:hAnsi="宋体" w:eastAsia="宋体" w:cs="宋体"/>
          <w:sz w:val="32"/>
          <w:szCs w:val="32"/>
        </w:rPr>
        <w:t>或房屋来源证明名称：</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w:t>
      </w:r>
    </w:p>
    <w:p w14:paraId="5FCE1399">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b/>
          <w:sz w:val="32"/>
          <w:szCs w:val="32"/>
        </w:rPr>
      </w:pPr>
      <w:r>
        <w:rPr>
          <w:rFonts w:hint="eastAsia" w:ascii="宋体" w:hAnsi="宋体" w:eastAsia="宋体" w:cs="宋体"/>
          <w:b/>
          <w:sz w:val="32"/>
          <w:szCs w:val="32"/>
        </w:rPr>
        <w:t>第二条  房屋租赁情况及登记备案</w:t>
      </w:r>
    </w:p>
    <w:p w14:paraId="1D5C0A74">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（一）租赁用途：</w:t>
      </w:r>
      <w:r>
        <w:rPr>
          <w:rFonts w:hint="eastAsia" w:ascii="宋体" w:hAnsi="宋体" w:eastAsia="宋体" w:cs="宋体"/>
          <w:sz w:val="32"/>
          <w:szCs w:val="32"/>
          <w:u w:val="single"/>
        </w:rPr>
        <w:t xml:space="preserve">                       </w:t>
      </w:r>
      <w:r>
        <w:rPr>
          <w:rFonts w:hint="eastAsia" w:ascii="宋体" w:hAnsi="宋体" w:eastAsia="宋体" w:cs="宋体"/>
          <w:sz w:val="32"/>
          <w:szCs w:val="32"/>
        </w:rPr>
        <w:t>。</w:t>
      </w:r>
    </w:p>
    <w:p w14:paraId="49AFD4D6">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（二）乙方在租用甲方的房屋期间应自行办理工商、税务登记证，合法经营，必须符合城市规划、管理、卫生等要求。</w:t>
      </w:r>
    </w:p>
    <w:p w14:paraId="33850B65">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b/>
          <w:sz w:val="32"/>
          <w:szCs w:val="32"/>
        </w:rPr>
      </w:pPr>
      <w:r>
        <w:rPr>
          <w:rFonts w:hint="eastAsia" w:ascii="宋体" w:hAnsi="宋体" w:eastAsia="宋体" w:cs="宋体"/>
          <w:b/>
          <w:sz w:val="32"/>
          <w:szCs w:val="32"/>
        </w:rPr>
        <w:t>第三条  租赁期限</w:t>
      </w:r>
    </w:p>
    <w:p w14:paraId="2C85FFCD">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（一）房屋租赁期自</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日至</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日，共计</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rPr>
        <w:t>年。甲方应于</w:t>
      </w:r>
      <w:r>
        <w:rPr>
          <w:rFonts w:hint="eastAsia" w:ascii="宋体" w:hAnsi="宋体" w:eastAsia="宋体" w:cs="宋体"/>
          <w:sz w:val="32"/>
          <w:szCs w:val="32"/>
          <w:u w:val="single"/>
        </w:rPr>
        <w:t xml:space="preserve">      </w:t>
      </w:r>
      <w:r>
        <w:rPr>
          <w:rFonts w:hint="eastAsia" w:ascii="宋体" w:hAnsi="宋体" w:eastAsia="宋体" w:cs="宋体"/>
          <w:sz w:val="32"/>
          <w:szCs w:val="32"/>
        </w:rPr>
        <w:t>年</w:t>
      </w:r>
      <w:r>
        <w:rPr>
          <w:rFonts w:hint="eastAsia" w:ascii="宋体" w:hAnsi="宋体" w:eastAsia="宋体" w:cs="宋体"/>
          <w:sz w:val="32"/>
          <w:szCs w:val="32"/>
          <w:u w:val="single"/>
        </w:rPr>
        <w:t xml:space="preserve">    </w:t>
      </w:r>
      <w:r>
        <w:rPr>
          <w:rFonts w:hint="eastAsia" w:ascii="宋体" w:hAnsi="宋体" w:eastAsia="宋体" w:cs="宋体"/>
          <w:sz w:val="32"/>
          <w:szCs w:val="32"/>
        </w:rPr>
        <w:t>月</w:t>
      </w:r>
      <w:r>
        <w:rPr>
          <w:rFonts w:hint="eastAsia" w:ascii="宋体" w:hAnsi="宋体" w:eastAsia="宋体" w:cs="宋体"/>
          <w:sz w:val="32"/>
          <w:szCs w:val="32"/>
          <w:u w:val="single"/>
        </w:rPr>
        <w:t xml:space="preserve">    </w:t>
      </w:r>
      <w:r>
        <w:rPr>
          <w:rFonts w:hint="eastAsia" w:ascii="宋体" w:hAnsi="宋体" w:eastAsia="宋体" w:cs="宋体"/>
          <w:sz w:val="32"/>
          <w:szCs w:val="32"/>
        </w:rPr>
        <w:t>日前将房屋按约定条件交付给乙方。《房屋移交清单》（见附件）经甲乙双方交验签字盖章后即视为交付完成。</w:t>
      </w:r>
    </w:p>
    <w:p w14:paraId="766E2A20">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（二）如因其他原因致甲方不能按期交付的，则由甲方及时退还保证金，不计利息。</w:t>
      </w:r>
    </w:p>
    <w:p w14:paraId="5FBD4C60">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b/>
          <w:sz w:val="32"/>
          <w:szCs w:val="32"/>
        </w:rPr>
      </w:pPr>
      <w:r>
        <w:rPr>
          <w:rFonts w:hint="eastAsia" w:ascii="宋体" w:hAnsi="宋体" w:eastAsia="宋体" w:cs="宋体"/>
          <w:b/>
          <w:sz w:val="32"/>
          <w:szCs w:val="32"/>
        </w:rPr>
        <w:t>第四条  租金、履约保证金及支付方式</w:t>
      </w:r>
    </w:p>
    <w:p w14:paraId="1290851B">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（一）第一年租金标准：</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rPr>
        <w:t>元/</w:t>
      </w:r>
      <w:r>
        <w:rPr>
          <w:rFonts w:hint="eastAsia" w:ascii="宋体" w:hAnsi="宋体" w:eastAsia="宋体" w:cs="宋体"/>
          <w:sz w:val="32"/>
          <w:szCs w:val="32"/>
          <w:lang w:val="en-US" w:eastAsia="zh-CN"/>
        </w:rPr>
        <w:t>月</w:t>
      </w:r>
      <w:r>
        <w:rPr>
          <w:rFonts w:hint="eastAsia" w:ascii="宋体" w:hAnsi="宋体" w:eastAsia="宋体" w:cs="宋体"/>
          <w:sz w:val="32"/>
          <w:szCs w:val="32"/>
        </w:rPr>
        <w:t>，第二年租金标准：</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元/月</w:t>
      </w:r>
      <w:r>
        <w:rPr>
          <w:rFonts w:hint="eastAsia" w:ascii="宋体" w:hAnsi="宋体" w:eastAsia="宋体" w:cs="宋体"/>
          <w:sz w:val="32"/>
          <w:szCs w:val="32"/>
          <w:lang w:eastAsia="zh-CN"/>
        </w:rPr>
        <w:t>，</w:t>
      </w:r>
      <w:r>
        <w:rPr>
          <w:rFonts w:hint="eastAsia" w:ascii="宋体" w:hAnsi="宋体" w:eastAsia="宋体" w:cs="宋体"/>
          <w:sz w:val="32"/>
          <w:szCs w:val="32"/>
        </w:rPr>
        <w:t>第</w:t>
      </w:r>
      <w:r>
        <w:rPr>
          <w:rFonts w:hint="eastAsia" w:ascii="宋体" w:hAnsi="宋体" w:eastAsia="宋体" w:cs="宋体"/>
          <w:sz w:val="32"/>
          <w:szCs w:val="32"/>
          <w:lang w:val="en-US" w:eastAsia="zh-CN"/>
        </w:rPr>
        <w:t>三</w:t>
      </w:r>
      <w:r>
        <w:rPr>
          <w:rFonts w:hint="eastAsia" w:ascii="宋体" w:hAnsi="宋体" w:eastAsia="宋体" w:cs="宋体"/>
          <w:sz w:val="32"/>
          <w:szCs w:val="32"/>
        </w:rPr>
        <w:t>年租金标准：</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元/月。</w:t>
      </w:r>
    </w:p>
    <w:p w14:paraId="5B38B80B">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（二）租金支付方式：自合同生效后的每</w:t>
      </w:r>
      <w:r>
        <w:rPr>
          <w:rFonts w:hint="eastAsia" w:ascii="宋体" w:hAnsi="宋体" w:eastAsia="宋体" w:cs="宋体"/>
          <w:sz w:val="32"/>
          <w:szCs w:val="32"/>
          <w:lang w:val="en-US" w:eastAsia="zh-CN"/>
        </w:rPr>
        <w:t>季度</w:t>
      </w:r>
      <w:r>
        <w:rPr>
          <w:rFonts w:hint="eastAsia" w:ascii="宋体" w:hAnsi="宋体" w:eastAsia="宋体" w:cs="宋体"/>
          <w:sz w:val="32"/>
          <w:szCs w:val="32"/>
        </w:rPr>
        <w:t>支付一次，乙方须在每</w:t>
      </w:r>
      <w:r>
        <w:rPr>
          <w:rFonts w:hint="eastAsia" w:ascii="宋体" w:hAnsi="宋体" w:eastAsia="宋体" w:cs="宋体"/>
          <w:sz w:val="32"/>
          <w:szCs w:val="32"/>
          <w:lang w:val="en-US" w:eastAsia="zh-CN"/>
        </w:rPr>
        <w:t>季度</w:t>
      </w:r>
      <w:r>
        <w:rPr>
          <w:rFonts w:hint="eastAsia" w:ascii="宋体" w:hAnsi="宋体" w:eastAsia="宋体" w:cs="宋体"/>
          <w:sz w:val="32"/>
          <w:szCs w:val="32"/>
        </w:rPr>
        <w:t>开始的第一个月15号之前支付该租金。</w:t>
      </w:r>
    </w:p>
    <w:p w14:paraId="7692158D">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rPr>
      </w:pPr>
      <w:r>
        <w:rPr>
          <w:rFonts w:hint="eastAsia" w:ascii="宋体" w:hAnsi="宋体" w:eastAsia="宋体" w:cs="宋体"/>
          <w:sz w:val="32"/>
          <w:szCs w:val="32"/>
        </w:rPr>
        <w:t>（三）履约保证金：乙方应于本合同签订前2日，向甲方足额交纳履约保证金（</w:t>
      </w:r>
      <w:r>
        <w:rPr>
          <w:rFonts w:hint="eastAsia" w:ascii="宋体" w:hAnsi="宋体" w:eastAsia="宋体" w:cs="宋体"/>
          <w:sz w:val="32"/>
          <w:szCs w:val="32"/>
          <w:lang w:val="en-US" w:eastAsia="zh-CN"/>
        </w:rPr>
        <w:t>保证金为三个月房租</w:t>
      </w:r>
      <w:r>
        <w:rPr>
          <w:rFonts w:hint="eastAsia" w:ascii="宋体" w:hAnsi="宋体" w:eastAsia="宋体" w:cs="宋体"/>
          <w:sz w:val="32"/>
          <w:szCs w:val="32"/>
        </w:rPr>
        <w:t>），承租期间保证金不得转为租金。承租期满且合同履行完毕，乙方无违约情形且经甲方对房屋验收无误后，将保证金退还乙方，不计利息。</w:t>
      </w:r>
    </w:p>
    <w:p w14:paraId="73EA188A">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(四）缴纳账户：</w:t>
      </w:r>
    </w:p>
    <w:p w14:paraId="6C7AED52">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开户行：中国工商银行股份有限公司东乡铜矿支行</w:t>
      </w:r>
    </w:p>
    <w:p w14:paraId="792EA8EF">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 xml:space="preserve">账 号：1511207219200012356 </w:t>
      </w:r>
    </w:p>
    <w:p w14:paraId="129185D6">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户名：抚州市东乡区城投资产经营管理有限公司</w:t>
      </w:r>
      <w:r>
        <w:rPr>
          <w:rFonts w:hint="eastAsia" w:ascii="宋体" w:hAnsi="宋体" w:eastAsia="宋体" w:cs="宋体"/>
          <w:sz w:val="32"/>
          <w:szCs w:val="32"/>
        </w:rPr>
        <w:t xml:space="preserve"> </w:t>
      </w:r>
    </w:p>
    <w:p w14:paraId="0CD4C914">
      <w:pPr>
        <w:keepNext w:val="0"/>
        <w:keepLines w:val="0"/>
        <w:pageBreakBefore w:val="0"/>
        <w:widowControl/>
        <w:kinsoku/>
        <w:wordWrap/>
        <w:overflowPunct/>
        <w:topLinePunct w:val="0"/>
        <w:autoSpaceDE/>
        <w:autoSpaceDN/>
        <w:bidi w:val="0"/>
        <w:adjustRightInd w:val="0"/>
        <w:snapToGrid w:val="0"/>
        <w:spacing w:line="240" w:lineRule="auto"/>
        <w:ind w:firstLine="435"/>
        <w:textAlignment w:val="auto"/>
        <w:rPr>
          <w:rFonts w:hint="eastAsia" w:ascii="宋体" w:hAnsi="宋体" w:eastAsia="宋体" w:cs="宋体"/>
          <w:b/>
          <w:sz w:val="32"/>
          <w:szCs w:val="32"/>
        </w:rPr>
      </w:pPr>
      <w:r>
        <w:rPr>
          <w:rFonts w:hint="eastAsia" w:ascii="宋体" w:hAnsi="宋体" w:eastAsia="宋体" w:cs="宋体"/>
          <w:b/>
          <w:sz w:val="32"/>
          <w:szCs w:val="32"/>
        </w:rPr>
        <w:t>第五条  双方权利及义务</w:t>
      </w:r>
    </w:p>
    <w:p w14:paraId="2B6C073A">
      <w:pPr>
        <w:keepNext w:val="0"/>
        <w:keepLines w:val="0"/>
        <w:pageBreakBefore w:val="0"/>
        <w:widowControl/>
        <w:numPr>
          <w:ilvl w:val="0"/>
          <w:numId w:val="4"/>
        </w:numPr>
        <w:kinsoku/>
        <w:wordWrap/>
        <w:overflowPunct/>
        <w:topLinePunct w:val="0"/>
        <w:autoSpaceDE/>
        <w:autoSpaceDN/>
        <w:bidi w:val="0"/>
        <w:adjustRightInd w:val="0"/>
        <w:snapToGrid w:val="0"/>
        <w:spacing w:line="240" w:lineRule="auto"/>
        <w:textAlignment w:val="auto"/>
        <w:rPr>
          <w:rFonts w:hint="eastAsia" w:ascii="宋体" w:hAnsi="宋体" w:eastAsia="宋体" w:cs="宋体"/>
          <w:sz w:val="32"/>
          <w:szCs w:val="32"/>
        </w:rPr>
      </w:pPr>
      <w:r>
        <w:rPr>
          <w:rFonts w:hint="eastAsia" w:ascii="宋体" w:hAnsi="宋体" w:eastAsia="宋体" w:cs="宋体"/>
          <w:sz w:val="32"/>
          <w:szCs w:val="32"/>
        </w:rPr>
        <w:t>甲方权利和义务</w:t>
      </w:r>
    </w:p>
    <w:p w14:paraId="65CEE9B8">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1. 甲方有权对乙方所承租的房屋使用情况进行监督检查，以防租赁房屋受损，确保国有资产保值增值。</w:t>
      </w:r>
    </w:p>
    <w:p w14:paraId="6C7F0F93">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2. 乙方承租期满且合同履行完毕后的10天内，甲方应将保证金扣除乙方所欠水费、电费、房租等一切应付款项外，余款归还乙方。</w:t>
      </w:r>
    </w:p>
    <w:p w14:paraId="0BCCDA7A">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3. 甲方在合同约定时间内将租赁资产按时移交给乙方使用，在乙方承租期满或本合同终止时按时收回租赁资产。</w:t>
      </w:r>
    </w:p>
    <w:p w14:paraId="043AB4E8">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4. 甲方不干涉乙方的正常经营。</w:t>
      </w:r>
    </w:p>
    <w:p w14:paraId="4256A46F">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（二）乙方的权利和义务</w:t>
      </w:r>
    </w:p>
    <w:p w14:paraId="516ACA11">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1. 乙方在租赁经营期间，必须遵纪守法、合法经营，做到证照齐全，按时足额交清租金和缴付涉及承租物的有关税费。</w:t>
      </w:r>
    </w:p>
    <w:p w14:paraId="7C9B3B90">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2. 乙方不得擅自改变房屋结构，并爱护使用室内设施，若人为损坏的须恢复原状或给予甲方相应的经济赔偿。</w:t>
      </w:r>
    </w:p>
    <w:p w14:paraId="56C086B8">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3. 乙方应保持周围环境整洁，保持道路的畅通，严格执行环保规定要求，做好社会治安综合管理、防火防盗和门前三包工作，在水电安装、装修装饰、日常经营等过程中，保证严格按照有关操作规范进行实施。</w:t>
      </w:r>
    </w:p>
    <w:p w14:paraId="73818BCE">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4. 乙方应遵守城市管理规约，切实处理好承租资产周边各相邻间的关系，如与相邻间产生纠纷事宜，由乙方自行处理。</w:t>
      </w:r>
    </w:p>
    <w:p w14:paraId="5E6324F9">
      <w:pPr>
        <w:keepNext w:val="0"/>
        <w:keepLines w:val="0"/>
        <w:pageBreakBefore w:val="0"/>
        <w:widowControl/>
        <w:kinsoku/>
        <w:wordWrap/>
        <w:overflowPunct/>
        <w:topLinePunct w:val="0"/>
        <w:autoSpaceDE/>
        <w:autoSpaceDN/>
        <w:bidi w:val="0"/>
        <w:adjustRightInd w:val="0"/>
        <w:snapToGrid w:val="0"/>
        <w:spacing w:line="240" w:lineRule="auto"/>
        <w:ind w:firstLine="665" w:firstLineChars="207"/>
        <w:textAlignment w:val="auto"/>
        <w:rPr>
          <w:rFonts w:hint="eastAsia" w:ascii="宋体" w:hAnsi="宋体" w:eastAsia="宋体" w:cs="宋体"/>
          <w:b/>
          <w:sz w:val="32"/>
          <w:szCs w:val="32"/>
        </w:rPr>
      </w:pPr>
      <w:r>
        <w:rPr>
          <w:rFonts w:hint="eastAsia" w:ascii="宋体" w:hAnsi="宋体" w:eastAsia="宋体" w:cs="宋体"/>
          <w:b/>
          <w:sz w:val="32"/>
          <w:szCs w:val="32"/>
        </w:rPr>
        <w:t>第六条  租赁资产的交接及返还验收办法</w:t>
      </w:r>
    </w:p>
    <w:p w14:paraId="3A2B8DEE">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（一）乙方向甲方交纳履约保证金和首期租金后，甲方于承租期开始时起将租赁房屋交付乙方使用。甲方交付给乙方使用的设施、设备如有瑕疵，以现状为准，并在移交清单中予以说明。</w:t>
      </w:r>
    </w:p>
    <w:p w14:paraId="3E686E6A">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二）在租赁期满之日或本合同提前终止时起三日内，乙方必须将所租赁资产按本合同起始时的移交清单进行交接验完毕，经甲方核对无误后由甲、乙双方代表确认签字。乙方必须保证所移交租赁资产的原状、性能使用正常，否则甲方有权要求乙方恢复其原状、性能，或按评估价进行赔偿。</w:t>
      </w:r>
    </w:p>
    <w:p w14:paraId="3CD237EF">
      <w:pPr>
        <w:keepNext w:val="0"/>
        <w:keepLines w:val="0"/>
        <w:pageBreakBefore w:val="0"/>
        <w:widowControl/>
        <w:kinsoku/>
        <w:wordWrap/>
        <w:overflowPunct/>
        <w:topLinePunct w:val="0"/>
        <w:autoSpaceDE/>
        <w:autoSpaceDN/>
        <w:bidi w:val="0"/>
        <w:adjustRightInd w:val="0"/>
        <w:snapToGrid w:val="0"/>
        <w:spacing w:line="240" w:lineRule="auto"/>
        <w:ind w:firstLine="665" w:firstLineChars="207"/>
        <w:textAlignment w:val="auto"/>
        <w:rPr>
          <w:rFonts w:hint="eastAsia" w:ascii="宋体" w:hAnsi="宋体" w:eastAsia="宋体" w:cs="宋体"/>
          <w:b/>
          <w:sz w:val="32"/>
          <w:szCs w:val="32"/>
        </w:rPr>
      </w:pPr>
      <w:r>
        <w:rPr>
          <w:rFonts w:hint="eastAsia" w:ascii="宋体" w:hAnsi="宋体" w:eastAsia="宋体" w:cs="宋体"/>
          <w:b/>
          <w:sz w:val="32"/>
          <w:szCs w:val="32"/>
        </w:rPr>
        <w:t>第七条  房屋维护及维修</w:t>
      </w:r>
    </w:p>
    <w:p w14:paraId="5E2CCFEE">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租赁期间所发生的房屋装饰、修缮等费用由乙方自行承担。乙方对租赁房屋装修或改变原有设施结构的，应事先征得甲方书面同意，并按规定向有关部门申报办理相关手续。租赁期满，甲方要求恢复原状的，乙方必须恢复原状；不要求恢复原状的，应保持装修原貌。租赁期满或合同终止，乙方对房屋的装修装饰归甲方所有，且乙方不得就此向甲方提出任何经济补偿或不经甲方同意予以拆除。</w:t>
      </w:r>
    </w:p>
    <w:p w14:paraId="22D4F8E2">
      <w:pPr>
        <w:keepNext w:val="0"/>
        <w:keepLines w:val="0"/>
        <w:pageBreakBefore w:val="0"/>
        <w:widowControl/>
        <w:kinsoku/>
        <w:wordWrap/>
        <w:overflowPunct/>
        <w:topLinePunct w:val="0"/>
        <w:autoSpaceDE/>
        <w:autoSpaceDN/>
        <w:bidi w:val="0"/>
        <w:adjustRightInd w:val="0"/>
        <w:snapToGrid w:val="0"/>
        <w:spacing w:line="240" w:lineRule="auto"/>
        <w:ind w:firstLine="665" w:firstLineChars="207"/>
        <w:textAlignment w:val="auto"/>
        <w:rPr>
          <w:rFonts w:hint="eastAsia" w:ascii="宋体" w:hAnsi="宋体" w:eastAsia="宋体" w:cs="宋体"/>
          <w:b/>
          <w:sz w:val="32"/>
          <w:szCs w:val="32"/>
        </w:rPr>
      </w:pPr>
      <w:r>
        <w:rPr>
          <w:rFonts w:hint="eastAsia" w:ascii="宋体" w:hAnsi="宋体" w:eastAsia="宋体" w:cs="宋体"/>
          <w:b/>
          <w:sz w:val="32"/>
          <w:szCs w:val="32"/>
        </w:rPr>
        <w:t>第八条  其他约定事项</w:t>
      </w:r>
    </w:p>
    <w:p w14:paraId="34BAF9EF">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（一）租赁期内的所产生的水费、电费、电话费、电视收视费、燃气费、物业管理费、卫生费、上网费、车位费等费用均由乙方承担。</w:t>
      </w:r>
    </w:p>
    <w:p w14:paraId="4AC3EFDC">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（二）租赁期内，房屋因国家政策需要收回、拍卖、城市规划要求拆除或改造等，甲乙双方应无条件服从，由此造成损失双方互不承担违约责任。</w:t>
      </w:r>
    </w:p>
    <w:p w14:paraId="420C8670">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三</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甲方给与乙方装修期一个月，装修期间不收取房租。</w:t>
      </w:r>
    </w:p>
    <w:p w14:paraId="19069A9D">
      <w:pPr>
        <w:keepNext w:val="0"/>
        <w:keepLines w:val="0"/>
        <w:pageBreakBefore w:val="0"/>
        <w:widowControl/>
        <w:kinsoku/>
        <w:wordWrap/>
        <w:overflowPunct/>
        <w:topLinePunct w:val="0"/>
        <w:autoSpaceDE/>
        <w:autoSpaceDN/>
        <w:bidi w:val="0"/>
        <w:adjustRightInd w:val="0"/>
        <w:snapToGrid w:val="0"/>
        <w:spacing w:line="240" w:lineRule="auto"/>
        <w:ind w:firstLine="665" w:firstLineChars="207"/>
        <w:textAlignment w:val="auto"/>
        <w:rPr>
          <w:rFonts w:hint="eastAsia" w:ascii="宋体" w:hAnsi="宋体" w:eastAsia="宋体" w:cs="宋体"/>
          <w:b/>
          <w:sz w:val="32"/>
          <w:szCs w:val="32"/>
        </w:rPr>
      </w:pPr>
      <w:r>
        <w:rPr>
          <w:rFonts w:hint="eastAsia" w:ascii="宋体" w:hAnsi="宋体" w:eastAsia="宋体" w:cs="宋体"/>
          <w:b/>
          <w:sz w:val="32"/>
          <w:szCs w:val="32"/>
        </w:rPr>
        <w:t>第九条  违约责任</w:t>
      </w:r>
    </w:p>
    <w:p w14:paraId="2601D267">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（一）合同生效后，即具有的法律效力，任何一方不得随意变更和解除。合同需变更或解除时须由双方协商一致，达成书面协议。</w:t>
      </w:r>
    </w:p>
    <w:p w14:paraId="2A6A07C0">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（二）租赁期满时，乙方应如期交还房屋，逾期交还则应按原租金标准的3倍向甲方支付违约金（按日计算）。</w:t>
      </w:r>
    </w:p>
    <w:p w14:paraId="601058CA">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（三）乙方有下列情形之一的，甲方终止合同，强制收回乙方所承租的资产，并没收乙方交纳的履约保证金，且对乙方货物、装修、设施等损失不负任何赔偿责任：</w:t>
      </w:r>
    </w:p>
    <w:p w14:paraId="6846B18C">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1、乙方未按本合同规定期限向甲方交纳租金，逾期10天以上的；</w:t>
      </w:r>
    </w:p>
    <w:p w14:paraId="20E8C769">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2、乙方不经甲方同意擅自将全部或部分资产转租、转让、转借的；</w:t>
      </w:r>
    </w:p>
    <w:p w14:paraId="73859760">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3、乙方利用承租房屋进行非法活动、造成环境污染或者妨碍他人正常工作、生活等损害公共利益行为的；</w:t>
      </w:r>
    </w:p>
    <w:p w14:paraId="536278B8">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4、未经甲方书面同意，擅自改变承租房屋用途、房屋结构或损坏房屋，经甲方通知，在限定时间内未进行纠正并修复的；</w:t>
      </w:r>
    </w:p>
    <w:p w14:paraId="622E8DAA">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5、不承担维修责任致租赁房屋损坏的。</w:t>
      </w:r>
    </w:p>
    <w:p w14:paraId="5ABBEF45">
      <w:pPr>
        <w:keepNext w:val="0"/>
        <w:keepLines w:val="0"/>
        <w:pageBreakBefore w:val="0"/>
        <w:widowControl/>
        <w:kinsoku/>
        <w:wordWrap/>
        <w:overflowPunct/>
        <w:topLinePunct w:val="0"/>
        <w:autoSpaceDE/>
        <w:autoSpaceDN/>
        <w:bidi w:val="0"/>
        <w:adjustRightInd w:val="0"/>
        <w:snapToGrid w:val="0"/>
        <w:spacing w:line="240" w:lineRule="auto"/>
        <w:ind w:firstLine="665" w:firstLineChars="207"/>
        <w:textAlignment w:val="auto"/>
        <w:rPr>
          <w:rFonts w:hint="eastAsia" w:ascii="宋体" w:hAnsi="宋体" w:eastAsia="宋体" w:cs="宋体"/>
          <w:b/>
          <w:sz w:val="32"/>
          <w:szCs w:val="32"/>
        </w:rPr>
      </w:pPr>
      <w:r>
        <w:rPr>
          <w:rFonts w:hint="eastAsia" w:ascii="宋体" w:hAnsi="宋体" w:eastAsia="宋体" w:cs="宋体"/>
          <w:b/>
          <w:sz w:val="32"/>
          <w:szCs w:val="32"/>
        </w:rPr>
        <w:t>第十条  合同争议的解决办法</w:t>
      </w:r>
    </w:p>
    <w:p w14:paraId="12DA1109">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本合同项下发生的争议，由双方当事人协商解决；协商不成的，依法向有管辖权的人民法院起诉。</w:t>
      </w:r>
    </w:p>
    <w:p w14:paraId="4FBA91D5">
      <w:pPr>
        <w:keepNext w:val="0"/>
        <w:keepLines w:val="0"/>
        <w:pageBreakBefore w:val="0"/>
        <w:widowControl/>
        <w:kinsoku/>
        <w:wordWrap/>
        <w:overflowPunct/>
        <w:topLinePunct w:val="0"/>
        <w:autoSpaceDE/>
        <w:autoSpaceDN/>
        <w:bidi w:val="0"/>
        <w:adjustRightInd w:val="0"/>
        <w:snapToGrid w:val="0"/>
        <w:spacing w:line="240" w:lineRule="auto"/>
        <w:ind w:firstLine="665" w:firstLineChars="207"/>
        <w:textAlignment w:val="auto"/>
        <w:rPr>
          <w:rFonts w:hint="eastAsia" w:ascii="宋体" w:hAnsi="宋体" w:eastAsia="宋体" w:cs="宋体"/>
          <w:b/>
          <w:sz w:val="32"/>
          <w:szCs w:val="32"/>
        </w:rPr>
      </w:pPr>
      <w:r>
        <w:rPr>
          <w:rFonts w:hint="eastAsia" w:ascii="宋体" w:hAnsi="宋体" w:eastAsia="宋体" w:cs="宋体"/>
          <w:b/>
          <w:sz w:val="32"/>
          <w:szCs w:val="32"/>
        </w:rPr>
        <w:t>第十一条  其他</w:t>
      </w:r>
    </w:p>
    <w:p w14:paraId="176A0E7A">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本合同经双方签字盖章后生效。本合同（及附件）一式</w:t>
      </w:r>
      <w:r>
        <w:rPr>
          <w:rFonts w:hint="eastAsia" w:ascii="宋体" w:hAnsi="宋体" w:eastAsia="宋体" w:cs="宋体"/>
          <w:sz w:val="32"/>
          <w:szCs w:val="32"/>
          <w:u w:val="single"/>
        </w:rPr>
        <w:t>叁</w:t>
      </w:r>
      <w:r>
        <w:rPr>
          <w:rFonts w:hint="eastAsia" w:ascii="宋体" w:hAnsi="宋体" w:eastAsia="宋体" w:cs="宋体"/>
          <w:sz w:val="32"/>
          <w:szCs w:val="32"/>
        </w:rPr>
        <w:t>份，其中甲方执</w:t>
      </w:r>
      <w:r>
        <w:rPr>
          <w:rFonts w:hint="eastAsia" w:ascii="宋体" w:hAnsi="宋体" w:eastAsia="宋体" w:cs="宋体"/>
          <w:sz w:val="32"/>
          <w:szCs w:val="32"/>
          <w:u w:val="single"/>
        </w:rPr>
        <w:t>贰</w:t>
      </w:r>
      <w:r>
        <w:rPr>
          <w:rFonts w:hint="eastAsia" w:ascii="宋体" w:hAnsi="宋体" w:eastAsia="宋体" w:cs="宋体"/>
          <w:sz w:val="32"/>
          <w:szCs w:val="32"/>
        </w:rPr>
        <w:t>份，乙方执</w:t>
      </w:r>
      <w:r>
        <w:rPr>
          <w:rFonts w:hint="eastAsia" w:ascii="宋体" w:hAnsi="宋体" w:eastAsia="宋体" w:cs="宋体"/>
          <w:sz w:val="32"/>
          <w:szCs w:val="32"/>
          <w:u w:val="single"/>
        </w:rPr>
        <w:t>壹</w:t>
      </w:r>
      <w:r>
        <w:rPr>
          <w:rFonts w:hint="eastAsia" w:ascii="宋体" w:hAnsi="宋体" w:eastAsia="宋体" w:cs="宋体"/>
          <w:sz w:val="32"/>
          <w:szCs w:val="32"/>
        </w:rPr>
        <w:t>份。</w:t>
      </w:r>
    </w:p>
    <w:p w14:paraId="38A603EB">
      <w:pPr>
        <w:keepNext w:val="0"/>
        <w:keepLines w:val="0"/>
        <w:pageBreakBefore w:val="0"/>
        <w:widowControl/>
        <w:kinsoku/>
        <w:wordWrap/>
        <w:overflowPunct/>
        <w:topLinePunct w:val="0"/>
        <w:autoSpaceDE/>
        <w:autoSpaceDN/>
        <w:bidi w:val="0"/>
        <w:adjustRightInd w:val="0"/>
        <w:snapToGrid w:val="0"/>
        <w:spacing w:line="240" w:lineRule="auto"/>
        <w:ind w:firstLine="662" w:firstLineChars="207"/>
        <w:textAlignment w:val="auto"/>
        <w:rPr>
          <w:rFonts w:hint="eastAsia" w:ascii="宋体" w:hAnsi="宋体" w:eastAsia="宋体" w:cs="宋体"/>
          <w:sz w:val="32"/>
          <w:szCs w:val="32"/>
        </w:rPr>
      </w:pPr>
      <w:r>
        <w:rPr>
          <w:rFonts w:hint="eastAsia" w:ascii="宋体" w:hAnsi="宋体" w:eastAsia="宋体" w:cs="宋体"/>
          <w:sz w:val="32"/>
          <w:szCs w:val="32"/>
        </w:rPr>
        <w:t>本合同生效后，双方对合同内容的变更或补充应采取书面形式，作为本合同的附件。附件与本合同具有同等的法律效力。</w:t>
      </w:r>
    </w:p>
    <w:p w14:paraId="5092966D">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经协商，在租赁期内如遇政策法律调整或政府征拆等，乙方不得以任何形式向我司或政府及相关部门索要任何形式的赔偿（包括但不限于装修）</w:t>
      </w:r>
    </w:p>
    <w:p w14:paraId="405D97F9">
      <w:pPr>
        <w:keepNext w:val="0"/>
        <w:keepLines w:val="0"/>
        <w:pageBreakBefore w:val="0"/>
        <w:widowControl/>
        <w:kinsoku/>
        <w:wordWrap/>
        <w:overflowPunct/>
        <w:topLinePunct w:val="0"/>
        <w:autoSpaceDE/>
        <w:autoSpaceDN/>
        <w:bidi w:val="0"/>
        <w:adjustRightInd w:val="0"/>
        <w:snapToGrid w:val="0"/>
        <w:spacing w:line="24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lang w:val="en-US" w:eastAsia="zh-CN"/>
        </w:rPr>
        <w:t>承租期间，甲方如有需求可收回店铺。</w:t>
      </w:r>
    </w:p>
    <w:p w14:paraId="7A547E5F">
      <w:pPr>
        <w:keepNext w:val="0"/>
        <w:keepLines w:val="0"/>
        <w:pageBreakBefore w:val="0"/>
        <w:widowControl/>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sz w:val="32"/>
          <w:szCs w:val="32"/>
        </w:rPr>
      </w:pPr>
      <w:r>
        <w:rPr>
          <w:rFonts w:hint="eastAsia" w:ascii="宋体" w:hAnsi="宋体" w:eastAsia="宋体" w:cs="宋体"/>
          <w:sz w:val="32"/>
          <w:szCs w:val="32"/>
        </w:rPr>
        <w:t>出租人：（盖章）                    承租人：（盖章）</w:t>
      </w:r>
    </w:p>
    <w:p w14:paraId="5EAFF336">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sz w:val="32"/>
          <w:szCs w:val="32"/>
        </w:rPr>
      </w:pPr>
      <w:r>
        <w:rPr>
          <w:rFonts w:hint="eastAsia" w:ascii="宋体" w:hAnsi="宋体" w:eastAsia="宋体" w:cs="宋体"/>
          <w:sz w:val="32"/>
          <w:szCs w:val="32"/>
        </w:rPr>
        <w:t xml:space="preserve">     </w:t>
      </w:r>
    </w:p>
    <w:p w14:paraId="7976FC62">
      <w:pPr>
        <w:keepNext w:val="0"/>
        <w:keepLines w:val="0"/>
        <w:pageBreakBefore w:val="0"/>
        <w:widowControl/>
        <w:kinsoku/>
        <w:wordWrap/>
        <w:overflowPunct/>
        <w:topLinePunct w:val="0"/>
        <w:autoSpaceDE/>
        <w:autoSpaceDN/>
        <w:bidi w:val="0"/>
        <w:adjustRightInd w:val="0"/>
        <w:snapToGrid w:val="0"/>
        <w:spacing w:line="240" w:lineRule="auto"/>
        <w:ind w:right="315"/>
        <w:jc w:val="right"/>
        <w:textAlignment w:val="auto"/>
      </w:pPr>
      <w:r>
        <w:rPr>
          <w:rFonts w:hint="eastAsia" w:ascii="宋体" w:hAnsi="宋体" w:eastAsia="宋体" w:cs="宋体"/>
          <w:sz w:val="32"/>
          <w:szCs w:val="32"/>
        </w:rPr>
        <w:t>签约日期：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EB4625"/>
    <w:multiLevelType w:val="multilevel"/>
    <w:tmpl w:val="1BEB4625"/>
    <w:lvl w:ilvl="0" w:tentative="0">
      <w:start w:val="1"/>
      <w:numFmt w:val="japaneseCounting"/>
      <w:lvlText w:val="（%1）"/>
      <w:lvlJc w:val="left"/>
      <w:pPr>
        <w:tabs>
          <w:tab w:val="left" w:pos="1155"/>
        </w:tabs>
        <w:ind w:left="1155" w:hanging="720"/>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1">
    <w:nsid w:val="2513AAE1"/>
    <w:multiLevelType w:val="singleLevel"/>
    <w:tmpl w:val="2513AAE1"/>
    <w:lvl w:ilvl="0" w:tentative="0">
      <w:start w:val="4"/>
      <w:numFmt w:val="chineseCounting"/>
      <w:suff w:val="nothing"/>
      <w:lvlText w:val="%1、"/>
      <w:lvlJc w:val="left"/>
      <w:rPr>
        <w:rFonts w:hint="eastAsia"/>
      </w:rPr>
    </w:lvl>
  </w:abstractNum>
  <w:abstractNum w:abstractNumId="2">
    <w:nsid w:val="423B12CC"/>
    <w:multiLevelType w:val="multilevel"/>
    <w:tmpl w:val="423B12CC"/>
    <w:lvl w:ilvl="0" w:tentative="0">
      <w:start w:val="1"/>
      <w:numFmt w:val="japaneseCounting"/>
      <w:lvlText w:val="第%1条"/>
      <w:lvlJc w:val="left"/>
      <w:pPr>
        <w:tabs>
          <w:tab w:val="left" w:pos="1290"/>
        </w:tabs>
        <w:ind w:left="1290" w:hanging="855"/>
      </w:pPr>
      <w:rPr>
        <w:rFonts w:hint="default"/>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3">
    <w:nsid w:val="59E8EE18"/>
    <w:multiLevelType w:val="singleLevel"/>
    <w:tmpl w:val="59E8EE18"/>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77A"/>
    <w:rsid w:val="00032194"/>
    <w:rsid w:val="0005132E"/>
    <w:rsid w:val="00080DDF"/>
    <w:rsid w:val="00156276"/>
    <w:rsid w:val="001B3843"/>
    <w:rsid w:val="004B061B"/>
    <w:rsid w:val="004B67DF"/>
    <w:rsid w:val="00701FDF"/>
    <w:rsid w:val="00705741"/>
    <w:rsid w:val="0080477A"/>
    <w:rsid w:val="00840912"/>
    <w:rsid w:val="008F0A4A"/>
    <w:rsid w:val="009127BE"/>
    <w:rsid w:val="00931525"/>
    <w:rsid w:val="009330E5"/>
    <w:rsid w:val="0099320F"/>
    <w:rsid w:val="009C3082"/>
    <w:rsid w:val="00C924D9"/>
    <w:rsid w:val="00D16719"/>
    <w:rsid w:val="00D46678"/>
    <w:rsid w:val="00D7043E"/>
    <w:rsid w:val="00F618D5"/>
    <w:rsid w:val="16C34C4C"/>
    <w:rsid w:val="1A4B4BB5"/>
    <w:rsid w:val="1B0811EB"/>
    <w:rsid w:val="1B7911CF"/>
    <w:rsid w:val="1C754E98"/>
    <w:rsid w:val="1CD001DE"/>
    <w:rsid w:val="1E0A0073"/>
    <w:rsid w:val="2AF26603"/>
    <w:rsid w:val="2BDE462A"/>
    <w:rsid w:val="357C63A7"/>
    <w:rsid w:val="376D307D"/>
    <w:rsid w:val="426F1914"/>
    <w:rsid w:val="4AE6128C"/>
    <w:rsid w:val="4B796EF5"/>
    <w:rsid w:val="4E7E015A"/>
    <w:rsid w:val="4F3D3703"/>
    <w:rsid w:val="65EB695D"/>
    <w:rsid w:val="76972C0D"/>
    <w:rsid w:val="78E55CB1"/>
    <w:rsid w:val="7F347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5"/>
    <w:semiHidden/>
    <w:unhideWhenUsed/>
    <w:qFormat/>
    <w:uiPriority w:val="99"/>
    <w:pPr>
      <w:spacing w:after="120"/>
    </w:pPr>
  </w:style>
  <w:style w:type="paragraph" w:styleId="4">
    <w:name w:val="toc 9"/>
    <w:basedOn w:val="1"/>
    <w:next w:val="1"/>
    <w:qFormat/>
    <w:uiPriority w:val="0"/>
    <w:pPr>
      <w:ind w:left="3360" w:leftChars="1600"/>
    </w:pPr>
    <w:rPr>
      <w:rFonts w:ascii="Times New Roman" w:hAnsi="Times New Roman" w:eastAsia="宋体" w:cs="Times New Roman"/>
    </w:rPr>
  </w:style>
  <w:style w:type="paragraph" w:styleId="5">
    <w:name w:val="Balloon Text"/>
    <w:basedOn w:val="1"/>
    <w:link w:val="17"/>
    <w:semiHidden/>
    <w:unhideWhenUsed/>
    <w:qFormat/>
    <w:uiPriority w:val="99"/>
    <w:pPr>
      <w:spacing w:after="0"/>
    </w:pPr>
    <w:rPr>
      <w:sz w:val="18"/>
      <w:szCs w:val="18"/>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Body Text First Indent"/>
    <w:basedOn w:val="3"/>
    <w:next w:val="1"/>
    <w:link w:val="16"/>
    <w:unhideWhenUsed/>
    <w:qFormat/>
    <w:uiPriority w:val="0"/>
    <w:pPr>
      <w:widowControl w:val="0"/>
      <w:adjustRightInd/>
      <w:snapToGrid/>
      <w:ind w:firstLine="420" w:firstLineChars="100"/>
      <w:jc w:val="both"/>
    </w:pPr>
    <w:rPr>
      <w:rFonts w:ascii="Times New Roman" w:hAnsi="Times New Roman" w:eastAsia="宋体" w:cs="Times New Roman"/>
      <w:kern w:val="2"/>
      <w:sz w:val="21"/>
      <w:szCs w:val="24"/>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unhideWhenUsed/>
    <w:qFormat/>
    <w:uiPriority w:val="99"/>
    <w:rPr>
      <w:color w:val="0000FF"/>
      <w:u w:val="single"/>
    </w:rPr>
  </w:style>
  <w:style w:type="paragraph" w:customStyle="1" w:styleId="13">
    <w:name w:val="列出段落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styleId="14">
    <w:name w:val="List Paragraph"/>
    <w:basedOn w:val="1"/>
    <w:qFormat/>
    <w:uiPriority w:val="34"/>
    <w:pPr>
      <w:ind w:firstLine="420" w:firstLineChars="200"/>
    </w:pPr>
  </w:style>
  <w:style w:type="character" w:customStyle="1" w:styleId="15">
    <w:name w:val="正文文本 字符"/>
    <w:basedOn w:val="10"/>
    <w:link w:val="3"/>
    <w:semiHidden/>
    <w:qFormat/>
    <w:uiPriority w:val="99"/>
    <w:rPr>
      <w:rFonts w:ascii="Tahoma" w:hAnsi="Tahoma" w:eastAsia="微软雅黑"/>
      <w:kern w:val="0"/>
      <w:sz w:val="22"/>
    </w:rPr>
  </w:style>
  <w:style w:type="character" w:customStyle="1" w:styleId="16">
    <w:name w:val="正文首行缩进 字符"/>
    <w:basedOn w:val="15"/>
    <w:link w:val="7"/>
    <w:qFormat/>
    <w:uiPriority w:val="0"/>
    <w:rPr>
      <w:rFonts w:ascii="Times New Roman" w:hAnsi="Times New Roman" w:eastAsia="宋体" w:cs="Times New Roman"/>
      <w:kern w:val="0"/>
      <w:sz w:val="22"/>
      <w:szCs w:val="24"/>
    </w:rPr>
  </w:style>
  <w:style w:type="character" w:customStyle="1" w:styleId="17">
    <w:name w:val="批注框文本 字符"/>
    <w:basedOn w:val="10"/>
    <w:link w:val="5"/>
    <w:semiHidden/>
    <w:qFormat/>
    <w:uiPriority w:val="99"/>
    <w:rPr>
      <w:rFonts w:ascii="Tahoma" w:hAnsi="Tahoma" w:eastAsia="微软雅黑"/>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3330</Words>
  <Characters>3491</Characters>
  <Lines>7</Lines>
  <Paragraphs>2</Paragraphs>
  <TotalTime>0</TotalTime>
  <ScaleCrop>false</ScaleCrop>
  <LinksUpToDate>false</LinksUpToDate>
  <CharactersWithSpaces>3700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2023-08-07T01:42:00Z</dcterms:created>
  <dc:creator>Administrator</dc:creator>
  <cp:lastModifiedBy>WPS_1174574893</cp:lastModifiedBy>
  <cp:lastPrinted>2026-04-30T07:06:00Z</cp:lastPrinted>
  <dcterms:modified xsi:type="dcterms:W3CDTF">2026-05-26T08:56:04Z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eyJoZGlkIjoiOTIwODgyMTk0YThiODgxZjFiZDlkMTFkZGU1ZDA0MmIiLCJ1c2VySWQiOiIxMTc0NTc0ODkzIn0=</vt:lpwstr>
  </property>
  <property fmtid="{D5CDD505-2E9C-101B-9397-08002B2CF9AE}" pid="3" name="KSOProductBuildVer">
    <vt:lpwstr>2052-12.1.0.26375</vt:lpwstr>
  </property>
  <property fmtid="{D5CDD505-2E9C-101B-9397-08002B2CF9AE}" pid="4" name="ICV">
    <vt:lpwstr>D7B4405148CB4D91ABEA7D2C38A9ADDD_13</vt:lpwstr>
  </property>
</Properties>
</file>